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8C" w:rsidRDefault="00C5348C" w:rsidP="00C53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88158E" wp14:editId="36AFB2D7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E1" w:rsidRPr="00EF39E1" w:rsidRDefault="00EF39E1" w:rsidP="00C53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C53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C53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C53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C53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C5348C" w:rsidRDefault="00EF39E1" w:rsidP="00C5348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C5348C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от </w:t>
      </w:r>
      <w:r w:rsidR="000930A8">
        <w:rPr>
          <w:rFonts w:ascii="PT Astra Sans" w:eastAsia="Times New Roman" w:hAnsi="PT Astra Sans" w:cs="Times New Roman"/>
          <w:sz w:val="24"/>
          <w:szCs w:val="28"/>
          <w:lang w:eastAsia="ru-RU"/>
        </w:rPr>
        <w:t>25 ноября</w:t>
      </w:r>
      <w:r w:rsidRPr="00C5348C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2022 года № </w:t>
      </w:r>
      <w:r w:rsidR="000930A8">
        <w:rPr>
          <w:rFonts w:ascii="PT Astra Sans" w:eastAsia="Times New Roman" w:hAnsi="PT Astra Sans" w:cs="Times New Roman"/>
          <w:sz w:val="24"/>
          <w:szCs w:val="28"/>
          <w:lang w:eastAsia="ru-RU"/>
        </w:rPr>
        <w:t>271</w:t>
      </w:r>
    </w:p>
    <w:p w:rsidR="00EF39E1" w:rsidRPr="00EF39E1" w:rsidRDefault="00EF39E1" w:rsidP="00C53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с. Белозерское</w:t>
      </w:r>
    </w:p>
    <w:p w:rsidR="00EF39E1" w:rsidRDefault="00EF39E1" w:rsidP="00C53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0930A8" w:rsidRPr="00EF39E1" w:rsidRDefault="000930A8" w:rsidP="00C53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930A8" w:rsidRDefault="00E139F2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b/>
          <w:sz w:val="26"/>
          <w:szCs w:val="26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</w:r>
    </w:p>
    <w:p w:rsidR="00B31C69" w:rsidRPr="000930A8" w:rsidRDefault="00B31C69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B31C69" w:rsidRPr="000930A8" w:rsidRDefault="00B31C69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8044AB" w:rsidRPr="000930A8" w:rsidRDefault="008044AB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В целях реализации положений Федерального закона от 24 июля 2007 года                        № 209-ФЗ «О развитии малого и среднего предпринимательства в Российской Федерации», руководствуясь пунктом 3 части 1 статьи 16, частью 1 статьи 51 Федерального закона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Курганской области, Дума Белозерского муниципального округа Курганской</w:t>
      </w:r>
      <w:proofErr w:type="gram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области</w:t>
      </w:r>
    </w:p>
    <w:p w:rsidR="008044AB" w:rsidRPr="000930A8" w:rsidRDefault="008044AB" w:rsidP="00C5348C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РЕШИЛА:</w:t>
      </w:r>
    </w:p>
    <w:p w:rsidR="008044AB" w:rsidRPr="000930A8" w:rsidRDefault="008044AB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1. </w:t>
      </w: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Утвердить Порядок 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 согласно приложению 1 к настоящему решению.</w:t>
      </w:r>
      <w:proofErr w:type="gramEnd"/>
    </w:p>
    <w:p w:rsidR="008044AB" w:rsidRPr="000930A8" w:rsidRDefault="008044AB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2. </w:t>
      </w: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Утвердить форму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 для опубликования в средствах массовой информации, а также размещения в информационно-телекоммуникационной сети «Интернет», 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lastRenderedPageBreak/>
        <w:t>согласно приложению 2 к настоящему решению.</w:t>
      </w:r>
      <w:proofErr w:type="gramEnd"/>
    </w:p>
    <w:p w:rsidR="00B31C69" w:rsidRPr="000930A8" w:rsidRDefault="008044AB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3. </w:t>
      </w: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Утвердить виды муниципального имущества, которое используется для формирования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 согласно приложению 3 к настоящему решению.</w:t>
      </w:r>
      <w:proofErr w:type="gramEnd"/>
    </w:p>
    <w:p w:rsidR="00370F8C" w:rsidRPr="000930A8" w:rsidRDefault="00370F8C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4. Признать утратившими силу:</w:t>
      </w:r>
    </w:p>
    <w:p w:rsidR="00370F8C" w:rsidRPr="000930A8" w:rsidRDefault="00370F8C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- решение Белозерской районной Думы от 5 марта 2009 года № 21 «О порядке формирования, ведения и обязательного опубликования перечня муниципального имущества муниципального образования Белозерского района,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370F8C" w:rsidRPr="000930A8" w:rsidRDefault="00370F8C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решение Белозерской </w:t>
      </w:r>
      <w:r w:rsidR="00E723AA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сельск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ой Думы от </w:t>
      </w:r>
      <w:r w:rsidR="00E723AA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30 августа 2019 года № 45-4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«</w:t>
      </w:r>
      <w:r w:rsidR="00E723AA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О порядке формирования, ведения и обязательного опубликования Перечня муниципального имущества муниципального образования Белозерского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»;</w:t>
      </w:r>
      <w:proofErr w:type="gramEnd"/>
    </w:p>
    <w:p w:rsidR="00E723AA" w:rsidRPr="000930A8" w:rsidRDefault="00E723AA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- решение Бор</w:t>
      </w:r>
      <w:r w:rsidR="002C1F10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ов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ской сельской Думы от </w:t>
      </w:r>
      <w:r w:rsidR="002C1F10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4 марта 2019 года № 7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«</w:t>
      </w:r>
      <w:r w:rsidR="002C1F10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Об утверждении Порядка формирования, ведения и обязательного опубликования перечня муниципального имущества Боровского сельсовета, предназначенного для предоставления его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»;</w:t>
      </w:r>
    </w:p>
    <w:p w:rsidR="00106D6B" w:rsidRPr="000930A8" w:rsidRDefault="00106D6B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решение </w:t>
      </w:r>
      <w:proofErr w:type="spellStart"/>
      <w:r w:rsidR="00F202D7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Зарослин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ской</w:t>
      </w:r>
      <w:proofErr w:type="spell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сельской Думы</w:t>
      </w:r>
      <w:r w:rsidR="00426583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от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</w:t>
      </w:r>
      <w:r w:rsidR="00FE7E50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11 июля 2019 года № 5/2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«</w:t>
      </w:r>
      <w:r w:rsidR="00FE7E50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Об утверждении Порядка формирования, ведения и обязательного обнародования Перечня муниципального имущества </w:t>
      </w:r>
      <w:proofErr w:type="spellStart"/>
      <w:r w:rsidR="00FE7E50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Зарослинского</w:t>
      </w:r>
      <w:proofErr w:type="spellEnd"/>
      <w:r w:rsidR="00FE7E50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»</w:t>
      </w:r>
      <w:r w:rsidR="00FE7E50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;</w:t>
      </w:r>
      <w:proofErr w:type="gramEnd"/>
    </w:p>
    <w:p w:rsidR="00FE7E50" w:rsidRPr="000930A8" w:rsidRDefault="008C7CCB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решение </w:t>
      </w:r>
      <w:proofErr w:type="spell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Камаганской</w:t>
      </w:r>
      <w:proofErr w:type="spell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сельской Думы </w:t>
      </w:r>
      <w:r w:rsidR="00426583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от 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25 июня 2019 года № 6-1 «О порядке формирования, ведения и обязательного опубликования перечня муниципального имущества </w:t>
      </w:r>
      <w:proofErr w:type="spell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Камаганского</w:t>
      </w:r>
      <w:proofErr w:type="spell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8C7CCB" w:rsidRPr="000930A8" w:rsidRDefault="008C7CCB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</w:t>
      </w:r>
      <w:r w:rsidR="00426583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решение Нижнетобольной сельской Думы от 10 июня 2019 года № 10-1 «О порядке формирования, ведения и обязательного опубликования перечня муниципального имущества Нижнетобольного сельсовета, предназначенного </w:t>
      </w:r>
      <w:r w:rsidR="00426583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lastRenderedPageBreak/>
        <w:t>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426583" w:rsidRPr="000930A8" w:rsidRDefault="00426583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</w:t>
      </w:r>
      <w:r w:rsidR="000D516E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решение </w:t>
      </w:r>
      <w:proofErr w:type="spellStart"/>
      <w:r w:rsidR="000D516E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Памятинской</w:t>
      </w:r>
      <w:proofErr w:type="spellEnd"/>
      <w:r w:rsidR="000D516E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сельской Думы от 21 июня 2019 года № 5-1 «О порядке формирования, ведения и обязательного опубликования перечня муниципального имущества Памятинского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предпринимательства»;</w:t>
      </w:r>
    </w:p>
    <w:p w:rsidR="00EC0B8A" w:rsidRPr="000930A8" w:rsidRDefault="00EC0B8A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- решение Першинской сельской Думы от 30 июля 2019 года № 3-2 «О порядке формирования, ведения и обязательного опубликования (обнародования) перечня муниципального имущества Муниципального образования Першинского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EC0B8A" w:rsidRPr="000930A8" w:rsidRDefault="00157943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решение </w:t>
      </w:r>
      <w:proofErr w:type="spell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Пьянковской</w:t>
      </w:r>
      <w:proofErr w:type="spell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сельской Думы от 11 апреля 2018 года № 3/2 «О Порядке формирования, ведения и обязательного опубликования Перечня муниципального имущества Муниципального образования Пьянковского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6700FC" w:rsidRPr="000930A8" w:rsidRDefault="006700FC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- решение Речкинской сельской Думы от 10 июня 2019 года № 3-3 «О порядке формирования, ведения и обязательного опубликования перечня муниципального имущества муниципального образования Речкинского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711279" w:rsidRPr="000930A8" w:rsidRDefault="00711279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решение </w:t>
      </w:r>
      <w:proofErr w:type="spell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Рычковской</w:t>
      </w:r>
      <w:proofErr w:type="spell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сельской Думы от 21 июня 2019 года № 6-2 «О порядке формирования, ведения и обязательного опубликования перечня муниципального имущества муниципального образования Рычковского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711279" w:rsidRPr="000930A8" w:rsidRDefault="009D01AC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- решение Светлодольской сельской Думы от 9 августа 2019 года № 6-3 «О порядке формирования, ведения и обязательного опубликования перечня муниципального имущества Светлодольского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267326" w:rsidRPr="000930A8" w:rsidRDefault="00267326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решение Скатинской сельской Думы от 21 июня 2019 года № 5-2 «О порядке формирования, ведения и обязательного обнародования перечня 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lastRenderedPageBreak/>
        <w:t>муниципального имущества Муниципального образования Скатинского сельсовета,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1B0031" w:rsidRPr="000930A8" w:rsidRDefault="001B0031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решение </w:t>
      </w:r>
      <w:proofErr w:type="spell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Скопинской</w:t>
      </w:r>
      <w:proofErr w:type="spell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сельской Думы от 18 июля 2019 года № 03-02 «О порядке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Скопинского</w:t>
      </w:r>
      <w:proofErr w:type="spell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1B0031" w:rsidRPr="000930A8" w:rsidRDefault="00BF4960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proofErr w:type="gram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- решение </w:t>
      </w:r>
      <w:proofErr w:type="spell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Ягоднинской</w:t>
      </w:r>
      <w:proofErr w:type="spell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сельской Думы от 21</w:t>
      </w:r>
      <w:r w:rsidRPr="000930A8">
        <w:rPr>
          <w:rFonts w:ascii="PT Astra Sans" w:hAnsi="PT Astra Sans" w:cs="Times New Roman"/>
          <w:sz w:val="26"/>
          <w:szCs w:val="26"/>
        </w:rPr>
        <w:t xml:space="preserve"> июня 2019 года № 5-1 «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О порядке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Ягоднинского</w:t>
      </w:r>
      <w:proofErr w:type="spellEnd"/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B31C69" w:rsidRPr="000930A8" w:rsidRDefault="0027533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5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. </w:t>
      </w:r>
      <w:r w:rsidR="00593A9A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Н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астоящее решение </w:t>
      </w:r>
      <w:r w:rsidR="00593A9A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разместить 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на официальном сайте Администрации </w:t>
      </w:r>
      <w:r w:rsidR="00CD0F67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Белозерского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муниципального округа Курганской области</w:t>
      </w:r>
      <w:r w:rsidR="00A23573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</w:p>
    <w:p w:rsidR="00B31C69" w:rsidRPr="000930A8" w:rsidRDefault="00B31C69" w:rsidP="00C5348C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B31C69" w:rsidRDefault="00B31C69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0930A8" w:rsidRPr="000930A8" w:rsidRDefault="000930A8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122BE4" w:rsidRPr="000930A8" w:rsidRDefault="00B31C69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Председатель Думы </w:t>
      </w:r>
    </w:p>
    <w:p w:rsidR="00B31C69" w:rsidRPr="000930A8" w:rsidRDefault="00CD0F67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Белозерского</w:t>
      </w:r>
      <w:r w:rsidR="00122BE4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муниципального округа</w:t>
      </w:r>
      <w:r w:rsidR="007C27DD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   </w:t>
      </w:r>
      <w:r w:rsidR="00122BE4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       </w:t>
      </w:r>
      <w:r w:rsidR="007C27DD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                   </w:t>
      </w:r>
      <w:r w:rsidR="00FB3371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П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="00FB3371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А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. </w:t>
      </w:r>
      <w:r w:rsidR="00FB3371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Макаров</w:t>
      </w:r>
    </w:p>
    <w:p w:rsidR="00B31C69" w:rsidRDefault="00B31C69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0930A8" w:rsidRDefault="000930A8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0930A8" w:rsidRPr="000930A8" w:rsidRDefault="000930A8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122BE4" w:rsidRPr="000930A8" w:rsidRDefault="00B31C69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Глава </w:t>
      </w:r>
    </w:p>
    <w:p w:rsidR="00BC5F33" w:rsidRPr="000930A8" w:rsidRDefault="00CD0F67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Белозерского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муниципального округа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           </w:t>
      </w:r>
      <w:r w:rsidR="00122BE4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       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                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А.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В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. </w:t>
      </w:r>
      <w:r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Завьяло</w:t>
      </w:r>
      <w:r w:rsidR="00B31C69" w:rsidRPr="000930A8">
        <w:rPr>
          <w:rFonts w:ascii="PT Astra Sans" w:eastAsia="Times New Roman" w:hAnsi="PT Astra Sans" w:cs="Times New Roman"/>
          <w:sz w:val="26"/>
          <w:szCs w:val="26"/>
          <w:lang w:eastAsia="ru-RU"/>
        </w:rPr>
        <w:t>в</w:t>
      </w:r>
    </w:p>
    <w:p w:rsidR="00BC5F33" w:rsidRPr="000930A8" w:rsidRDefault="00BC5F33" w:rsidP="00C5348C">
      <w:pPr>
        <w:widowControl w:val="0"/>
        <w:rPr>
          <w:rFonts w:ascii="PT Astra Sans" w:eastAsia="Times New Roman" w:hAnsi="PT Astra Sans" w:cs="Times New Roman"/>
          <w:sz w:val="26"/>
          <w:szCs w:val="26"/>
          <w:lang w:eastAsia="ru-RU"/>
        </w:rPr>
        <w:sectPr w:rsidR="00BC5F33" w:rsidRPr="000930A8" w:rsidSect="000930A8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FA0076" w:rsidRPr="000A4172" w:rsidTr="00616E75">
        <w:tc>
          <w:tcPr>
            <w:tcW w:w="4361" w:type="dxa"/>
          </w:tcPr>
          <w:p w:rsidR="00FA0076" w:rsidRPr="000A4172" w:rsidRDefault="00FA0076" w:rsidP="00C5348C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FA0076" w:rsidRPr="000A4172" w:rsidRDefault="00FA0076" w:rsidP="00C5348C">
            <w:pPr>
              <w:widowControl w:val="0"/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 w:rsidR="006F78EC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1</w:t>
            </w:r>
          </w:p>
          <w:p w:rsidR="007C27DD" w:rsidRDefault="00FA0076" w:rsidP="00C5348C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CD0F67" w:rsidRPr="000A4172" w:rsidRDefault="00FA0076" w:rsidP="00C5348C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0930A8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 ноября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2022 года № </w:t>
            </w:r>
            <w:r w:rsidR="000930A8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271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</w:p>
          <w:p w:rsidR="00FA0076" w:rsidRPr="000A4172" w:rsidRDefault="00FA0076" w:rsidP="00C5348C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432F5E"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Порядка </w:t>
            </w:r>
            <w:r w:rsidR="00616E75" w:rsidRPr="00616E75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A0076" w:rsidRPr="000A4172" w:rsidRDefault="00FA0076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A0076" w:rsidRPr="000A4172" w:rsidRDefault="00FA0076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ПО</w:t>
      </w:r>
      <w:r w:rsid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РЯДОК</w:t>
      </w:r>
    </w:p>
    <w:p w:rsidR="00B31C69" w:rsidRPr="000A4172" w:rsidRDefault="002411FA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411F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</w:r>
    </w:p>
    <w:p w:rsidR="00F60E1F" w:rsidRPr="000A4172" w:rsidRDefault="00F60E1F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I. Общие положения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 (далее – Перечень), требования к имуществу, сведения о котором включаются в Перечень, в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Федерации.</w:t>
      </w:r>
      <w:proofErr w:type="gramEnd"/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II. Цели создания и основные принципы формирования, ведения, ежегодного дополнения и опубликования Перечня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В Перечне содержатся сведения о муниципальном имуществе,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лицам, установленным действующим законодательством Российской Федерации, с возможностью отчуждения на возмездной основе в собственность в соответствии с Федеральным законом от 22 июля 2008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159-ФЗ «Об особенностях отчуждения недвижимого имущества, находящегося в государственной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3. Формирование Перечня осуществляется в целях: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 обеспечения доступности информации об имуществе, включенном в Перечень, для субъектов малого и среднего предпринимательства, организаций образующих инфраструктуру поддержки субъектов малого и среднего предпринимательства и иных лиц, установленных действующим законодательством Российской Федерации;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2) предоставления имущества, принадлежащего на праве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скому муниципальному округу Курганской области во владение и (или) пользование на долгосрочной основе (в том числе </w:t>
      </w:r>
      <w:proofErr w:type="spell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возмездно</w:t>
      </w:r>
      <w:proofErr w:type="spell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, безвозмездно и по льготным ставкам арендной платы) субъектам малого и среднего предпринимательства,  организациям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Федерации;</w:t>
      </w:r>
      <w:proofErr w:type="gramEnd"/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3) реализации полномочий муниципального образования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в сфере оказания имущественной поддержки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4) повышения эффективности управления муниципальным имуществом, находящимся в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стимулирования развития малого и среднего предпринимательства, на территории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4. Формирование и ведение Перечня основывается на следующих основных принципах: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2) ежегодная актуализация Перечня (на системной основе в течение текущего года, но не позднее 1 ноября), осуществляемая на основе предложений, в том числе внесенных по итогам заседаний коллегиального органа в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по обеспечению взаимодействия исполнительных органов власти Курганской области с территориальным органом </w:t>
      </w:r>
      <w:proofErr w:type="spell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Росимущества</w:t>
      </w:r>
      <w:proofErr w:type="spell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Курганской области и органами местного самоуправления по вопросам оказания имущественной поддержки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5B1FCA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5B1FC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III. Формирование, ведение Перечня, внесение в него изменений, в том числе ежегодное дополнение Перечня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 xml:space="preserve">5. Изменения и ежегодное дополнение в Перечень утверждаются распоряжением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6. Формирование и ведение Перечня осуществляется Отделом </w:t>
      </w:r>
      <w:r w:rsidR="00D05D57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имущественных и земельных отношений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7. В Перечень вносятся сведения об имуществе, соответствующем следующим критериям: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имущество не является объектом религиозного назначения;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4)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5) имущество не включено в действующий в текущем году акт и на очередной период о планировании приватизации муниципального имущества, принятый в соответствии с Федеральным законом от 21</w:t>
      </w:r>
      <w:r w:rsidR="00D05D5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декабря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2001 г</w:t>
      </w:r>
      <w:r w:rsidR="00D05D57"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имущества», а также в Перечень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предназначенного для передачи во владение и (или) в пользование на долгосрочной основе социально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ориентированным некоммерческим организациям;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6) имущество не признано аварийным и подлежащим сносу;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9)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10)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 в целях предоставления такого имущества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, установленным действующим законодательством Российской Федерации;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действующим законодательством Российской Федерации не допускается, а также не является частью неделимой вещи;</w:t>
      </w:r>
      <w:proofErr w:type="gramEnd"/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12)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13) в отношении имущества, арендуемого субъектом малого и среднего предпринимательства (далее – МСП), в течение менее трех лет, арендатор не направил возражения на включение в Перечень;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14) в отношении имущества заключен договор аренды или иной договор о передаче во владение и (или) в пользование, срок действия которого составляет не менее пяти лет.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8.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9. Сведения об имуществе группируются в Перечне по населенным пунктам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на территории которых имущество расположено, а также по видам имущества (недвижимое имущество, в том числе единый недвижимый комплекс, земельные участки, движимое имущество).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10.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распоряжением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по его инициативе или на основании предложений органов местного самоуправления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 коллегиального органа в Администрации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по обеспечению взаимодействия с предпринимателями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области,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с даты внесения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соответствующих изменений в реестр муниципального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11. Рассмотрение уполномоченным органом предложений, поступивших от лиц, указанных в пункте 10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12. Решение об отказе в учете предложения о включении имущества в Перечень принимается в следующих случаях: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 имущество не соответствует критериям, установленным пунктом 3.3. настоящего Порядка;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балансодержателя;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13.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Уполномоченный орган вправе исключить сведения о муниципальном имуществе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организаций, образующих инфраструктуру поддержки субъектов малого и среднего предпринимательства и иных лиц, установленных действующим законодательством Российской Федерации, не поступило:</w:t>
      </w:r>
      <w:proofErr w:type="gramEnd"/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 июля 2006 года № 135-ФЗ «О защите конкуренции», Земельным кодексом Российской Федерации.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14. Сведения о муниципальном имуществе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подлежат исключению из Перечня, в следующих случаях: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1) в отношении имущества в установленном действующим законодательством Российской Федерации порядке принято решение о его использовании для муниципальных нужд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2) право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на имущество прекращено по решению суда или в ином установленном законом порядке;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3) прекращение существования имущества в результате его гибели или уничтожения;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4) имущество признано в установленном действующим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5) имущество приобретено его арендатором в собственность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9 пункта 2 статьи 39.3 Земельного кодекса Российской Федерации.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15.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образующей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Федерации, на условиях, обеспечивающих проведение его капитального ремонта и (или) реконструкции арендатором.</w:t>
      </w:r>
      <w:proofErr w:type="gramEnd"/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16. Уполномоченный орган уведомляет арендатора о намерении принять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решение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14 настоящего Порядка, за исключением подпункта 5 пункта 14 настоящего Порядка. 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DA6984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DA6984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IV. Опубликование Перечня и предоставление сведений о включенном в него имуществе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17. Уполномоченный орган: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1)</w:t>
      </w:r>
      <w:r w:rsidR="00DA698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обеспечивает опубликование Перечня или изменений в Перечень в средствах массовой информации, определенных для официального опубликования правовых </w:t>
      </w:r>
      <w:proofErr w:type="gramStart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актов органов местного самоуправления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Курганской области</w:t>
      </w:r>
      <w:proofErr w:type="gramEnd"/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течение 10 рабочих дней со дня их утверждения по форме согласно приложению 2 к настоящему решению;</w:t>
      </w:r>
    </w:p>
    <w:p w:rsidR="003229B2" w:rsidRPr="003229B2" w:rsidRDefault="003229B2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2)</w:t>
      </w:r>
      <w:r w:rsidR="00DA698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Перечень;</w:t>
      </w:r>
    </w:p>
    <w:p w:rsidR="003229B2" w:rsidRPr="003229B2" w:rsidRDefault="00DA6984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3) </w:t>
      </w:r>
      <w:r w:rsidR="003229B2"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предоставляет в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3229B2"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>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</w:t>
      </w:r>
      <w:proofErr w:type="gramEnd"/>
      <w:r w:rsidR="003229B2" w:rsidRPr="003229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закона 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6F78EC" w:rsidRDefault="006F78EC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F78EC" w:rsidRDefault="006F78EC" w:rsidP="00C5348C">
      <w:pPr>
        <w:widowControl w:val="0"/>
        <w:rPr>
          <w:rFonts w:ascii="PT Astra Sans" w:eastAsia="Times New Roman" w:hAnsi="PT Astra Sans" w:cs="Times New Roman"/>
          <w:sz w:val="24"/>
          <w:szCs w:val="24"/>
          <w:lang w:eastAsia="ru-RU"/>
        </w:rPr>
        <w:sectPr w:rsidR="006F78EC" w:rsidSect="00B31C69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0348"/>
      </w:tblGrid>
      <w:tr w:rsidR="006F78EC" w:rsidRPr="000A4172" w:rsidTr="006F78EC">
        <w:tc>
          <w:tcPr>
            <w:tcW w:w="4361" w:type="dxa"/>
          </w:tcPr>
          <w:p w:rsidR="006F78EC" w:rsidRPr="000A4172" w:rsidRDefault="006F78EC" w:rsidP="00C5348C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:rsidR="006F78EC" w:rsidRDefault="006F78EC" w:rsidP="00C5348C">
            <w:pPr>
              <w:widowControl w:val="0"/>
              <w:shd w:val="clear" w:color="auto" w:fill="FFFFFF"/>
              <w:ind w:left="4428" w:right="-142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 w:rsidR="00241E26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</w:t>
            </w:r>
          </w:p>
          <w:p w:rsidR="006F78EC" w:rsidRDefault="006F78EC" w:rsidP="00C5348C">
            <w:pPr>
              <w:widowControl w:val="0"/>
              <w:shd w:val="clear" w:color="auto" w:fill="FFFFFF"/>
              <w:ind w:left="4428" w:right="-142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к решению Думы Белозерского муниципального округа</w:t>
            </w:r>
          </w:p>
          <w:p w:rsidR="006F78EC" w:rsidRDefault="006F78EC" w:rsidP="00C5348C">
            <w:pPr>
              <w:widowControl w:val="0"/>
              <w:shd w:val="clear" w:color="auto" w:fill="FFFFFF"/>
              <w:ind w:left="4428" w:right="-142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Курганской области </w:t>
            </w:r>
          </w:p>
          <w:p w:rsidR="006F78EC" w:rsidRPr="000A4172" w:rsidRDefault="006F78EC" w:rsidP="00C5348C">
            <w:pPr>
              <w:widowControl w:val="0"/>
              <w:ind w:left="4428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0930A8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 ноября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2022 года № </w:t>
            </w:r>
            <w:r w:rsidR="000930A8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271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</w:p>
          <w:p w:rsidR="006F78EC" w:rsidRDefault="006F78EC" w:rsidP="00C5348C">
            <w:pPr>
              <w:widowControl w:val="0"/>
              <w:ind w:left="442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Порядка </w:t>
            </w:r>
            <w:r w:rsidRPr="00616E75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  <w:p w:rsidR="00241E26" w:rsidRPr="000A4172" w:rsidRDefault="00241E26" w:rsidP="00C5348C">
            <w:pPr>
              <w:widowControl w:val="0"/>
              <w:ind w:left="4428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</w:tbl>
    <w:p w:rsidR="006F78EC" w:rsidRDefault="006F78EC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241E26" w:rsidRDefault="00241E26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241E26" w:rsidRDefault="00241E26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241E26" w:rsidRDefault="00241E26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241E2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Ф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ОРМА ПЕРЕЧНЯ</w:t>
      </w:r>
    </w:p>
    <w:p w:rsidR="00241E26" w:rsidRPr="00241E26" w:rsidRDefault="00241E26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241E2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муниципального имущества, предназначенного для предоставления </w:t>
      </w:r>
    </w:p>
    <w:p w:rsidR="00241E26" w:rsidRDefault="00241E26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  <w:r w:rsidRPr="00241E26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241E26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 и иным лицам, установленным действующим законодательством </w:t>
      </w:r>
    </w:p>
    <w:p w:rsidR="00241E26" w:rsidRPr="00241E26" w:rsidRDefault="00241E26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ahoma"/>
          <w:b/>
          <w:sz w:val="24"/>
          <w:szCs w:val="24"/>
          <w:lang w:eastAsia="ru-RU"/>
        </w:rPr>
      </w:pPr>
      <w:r w:rsidRPr="00241E26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241E26" w:rsidRPr="00241E26" w:rsidRDefault="00241E26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ahoma"/>
          <w:b/>
          <w:sz w:val="24"/>
          <w:szCs w:val="24"/>
          <w:lang w:eastAsia="ru-RU"/>
        </w:rPr>
      </w:pP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059"/>
        <w:gridCol w:w="1733"/>
        <w:gridCol w:w="1654"/>
        <w:gridCol w:w="3945"/>
        <w:gridCol w:w="2823"/>
        <w:gridCol w:w="2033"/>
      </w:tblGrid>
      <w:tr w:rsidR="00241E26" w:rsidRPr="00241E26" w:rsidTr="00753D99">
        <w:trPr>
          <w:trHeight w:val="206"/>
          <w:tblCellSpacing w:w="0" w:type="dxa"/>
        </w:trPr>
        <w:tc>
          <w:tcPr>
            <w:tcW w:w="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 xml:space="preserve">№ </w:t>
            </w:r>
            <w:proofErr w:type="gramStart"/>
            <w:r w:rsidRPr="00241E26">
              <w:rPr>
                <w:rFonts w:ascii="PT Astra Sans" w:eastAsia="Times New Roman" w:hAnsi="PT Astra Sans" w:cs="Times New Roman"/>
                <w:lang w:eastAsia="ru-RU"/>
              </w:rPr>
              <w:t>п</w:t>
            </w:r>
            <w:proofErr w:type="gramEnd"/>
            <w:r w:rsidRPr="00241E26">
              <w:rPr>
                <w:rFonts w:ascii="PT Astra Sans" w:eastAsia="Times New Roman" w:hAnsi="PT Astra Sans" w:cs="Times New Roman"/>
                <w:lang w:eastAsia="ru-RU"/>
              </w:rPr>
              <w:t>/п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Адрес (местоположение) объекта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Вид объекта недвижимости;</w:t>
            </w:r>
          </w:p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тип движимого имущества</w:t>
            </w:r>
          </w:p>
        </w:tc>
        <w:tc>
          <w:tcPr>
            <w:tcW w:w="1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Наименование объекта учета</w:t>
            </w:r>
          </w:p>
        </w:tc>
        <w:tc>
          <w:tcPr>
            <w:tcW w:w="6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Сведения о недвижимом имуществе</w:t>
            </w:r>
          </w:p>
        </w:tc>
      </w:tr>
      <w:tr w:rsidR="00241E26" w:rsidRPr="00241E26" w:rsidTr="00753D99">
        <w:trPr>
          <w:trHeight w:val="2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6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Основная характеристика объекта недвижимости</w:t>
            </w:r>
          </w:p>
        </w:tc>
      </w:tr>
      <w:tr w:rsidR="00241E26" w:rsidRPr="00241E26" w:rsidTr="00753D99">
        <w:trPr>
          <w:trHeight w:val="42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proofErr w:type="gramStart"/>
            <w:r w:rsidRPr="00241E26">
              <w:rPr>
                <w:rFonts w:ascii="PT Astra Sans" w:eastAsia="Times New Roman" w:hAnsi="PT Astra Sans" w:cs="Times New Roman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 xml:space="preserve">Фактическое </w:t>
            </w:r>
            <w:proofErr w:type="gramStart"/>
            <w:r w:rsidRPr="00241E26">
              <w:rPr>
                <w:rFonts w:ascii="PT Astra Sans" w:eastAsia="Times New Roman" w:hAnsi="PT Astra Sans" w:cs="Times New Roman"/>
                <w:lang w:eastAsia="ru-RU"/>
              </w:rPr>
              <w:t>значение</w:t>
            </w:r>
            <w:proofErr w:type="gramEnd"/>
            <w:r w:rsidRPr="00241E26">
              <w:rPr>
                <w:rFonts w:ascii="PT Astra Sans" w:eastAsia="Times New Roman" w:hAnsi="PT Astra Sans" w:cs="Times New Roman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proofErr w:type="gramStart"/>
            <w:r w:rsidRPr="00241E26">
              <w:rPr>
                <w:rFonts w:ascii="PT Astra Sans" w:eastAsia="Times New Roman" w:hAnsi="PT Astra Sans" w:cs="Times New Roman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241E26" w:rsidRPr="00241E26" w:rsidTr="00753D99">
        <w:trPr>
          <w:tblCellSpacing w:w="0" w:type="dxa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6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lang w:eastAsia="ru-RU"/>
              </w:rPr>
              <w:t>7</w:t>
            </w:r>
          </w:p>
        </w:tc>
      </w:tr>
    </w:tbl>
    <w:p w:rsidR="00241E26" w:rsidRPr="00241E26" w:rsidRDefault="00241E26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ahoma"/>
          <w:sz w:val="14"/>
          <w:szCs w:val="14"/>
          <w:lang w:eastAsia="ru-RU"/>
        </w:rPr>
      </w:pPr>
      <w:r w:rsidRPr="00241E26">
        <w:rPr>
          <w:rFonts w:ascii="PT Astra Sans" w:eastAsia="Times New Roman" w:hAnsi="PT Astra Sans" w:cs="Tahoma"/>
          <w:sz w:val="14"/>
          <w:szCs w:val="14"/>
          <w:lang w:eastAsia="ru-RU"/>
        </w:rPr>
        <w:t> </w:t>
      </w:r>
    </w:p>
    <w:p w:rsidR="00241E26" w:rsidRPr="00241E26" w:rsidRDefault="00241E26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ahoma"/>
          <w:sz w:val="14"/>
          <w:szCs w:val="14"/>
          <w:lang w:eastAsia="ru-RU"/>
        </w:rPr>
      </w:pPr>
    </w:p>
    <w:p w:rsidR="00241E26" w:rsidRPr="00241E26" w:rsidRDefault="00241E26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ahoma"/>
          <w:sz w:val="14"/>
          <w:szCs w:val="14"/>
          <w:lang w:eastAsia="ru-RU"/>
        </w:rPr>
      </w:pP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983"/>
        <w:gridCol w:w="1983"/>
        <w:gridCol w:w="1327"/>
        <w:gridCol w:w="1888"/>
        <w:gridCol w:w="2254"/>
        <w:gridCol w:w="929"/>
        <w:gridCol w:w="1117"/>
        <w:gridCol w:w="2328"/>
      </w:tblGrid>
      <w:tr w:rsidR="00241E26" w:rsidRPr="00241E26" w:rsidTr="00753D99">
        <w:trPr>
          <w:trHeight w:val="206"/>
          <w:tblCellSpacing w:w="0" w:type="dxa"/>
        </w:trPr>
        <w:tc>
          <w:tcPr>
            <w:tcW w:w="63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  <w:p w:rsidR="00241E26" w:rsidRPr="00241E26" w:rsidRDefault="00241E26" w:rsidP="00C5348C">
            <w:pPr>
              <w:widowControl w:val="0"/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485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Сведения о движимом имуществе</w:t>
            </w:r>
          </w:p>
        </w:tc>
      </w:tr>
      <w:tr w:rsidR="00241E26" w:rsidRPr="00241E26" w:rsidTr="00753D99">
        <w:trPr>
          <w:trHeight w:val="206"/>
          <w:tblCellSpacing w:w="0" w:type="dxa"/>
        </w:trPr>
        <w:tc>
          <w:tcPr>
            <w:tcW w:w="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06" w:lineRule="atLeast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241E26" w:rsidRPr="00241E26" w:rsidTr="00753D99">
        <w:trPr>
          <w:trHeight w:val="1566"/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Состав (принадлежности) имущества</w:t>
            </w:r>
          </w:p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241E26" w:rsidRPr="00241E26" w:rsidTr="00753D99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241E26" w:rsidRPr="00241E26" w:rsidRDefault="00241E26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ahoma"/>
          <w:sz w:val="14"/>
          <w:szCs w:val="14"/>
          <w:lang w:eastAsia="ru-RU"/>
        </w:rPr>
      </w:pPr>
    </w:p>
    <w:p w:rsidR="00241E26" w:rsidRPr="00241E26" w:rsidRDefault="00241E26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ahoma"/>
          <w:sz w:val="14"/>
          <w:szCs w:val="14"/>
          <w:lang w:eastAsia="ru-RU"/>
        </w:rPr>
      </w:pPr>
    </w:p>
    <w:tbl>
      <w:tblPr>
        <w:tblW w:w="109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386"/>
        <w:gridCol w:w="1757"/>
        <w:gridCol w:w="1555"/>
        <w:gridCol w:w="1757"/>
        <w:gridCol w:w="1353"/>
        <w:gridCol w:w="1327"/>
      </w:tblGrid>
      <w:tr w:rsidR="00241E26" w:rsidRPr="00241E26" w:rsidTr="00753D99">
        <w:trPr>
          <w:tblCellSpacing w:w="0" w:type="dxa"/>
        </w:trPr>
        <w:tc>
          <w:tcPr>
            <w:tcW w:w="1090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241E26" w:rsidRPr="00241E26" w:rsidTr="00753D99">
        <w:trPr>
          <w:tblCellSpacing w:w="0" w:type="dxa"/>
        </w:trPr>
        <w:tc>
          <w:tcPr>
            <w:tcW w:w="4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Наименование правообладателя</w:t>
            </w:r>
          </w:p>
        </w:tc>
        <w:tc>
          <w:tcPr>
            <w:tcW w:w="10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ИНН правообладателя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241E26" w:rsidRPr="00241E26" w:rsidTr="00753D99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241E26" w:rsidRPr="00241E26" w:rsidTr="00753D99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E26" w:rsidRPr="00241E26" w:rsidRDefault="00241E26" w:rsidP="00C5348C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241E2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241E26" w:rsidRDefault="00241E26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241E26" w:rsidRDefault="00241E26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  <w:sectPr w:rsidR="00241E26" w:rsidSect="006F78E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2A3E3D" w:rsidRPr="000A4172" w:rsidTr="00753D99">
        <w:tc>
          <w:tcPr>
            <w:tcW w:w="4361" w:type="dxa"/>
          </w:tcPr>
          <w:p w:rsidR="002A3E3D" w:rsidRPr="000A4172" w:rsidRDefault="002A3E3D" w:rsidP="00C5348C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2A3E3D" w:rsidRPr="000A4172" w:rsidRDefault="002A3E3D" w:rsidP="00C5348C">
            <w:pPr>
              <w:widowControl w:val="0"/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</w:t>
            </w:r>
          </w:p>
          <w:p w:rsidR="002A3E3D" w:rsidRDefault="002A3E3D" w:rsidP="00C5348C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2A3E3D" w:rsidRPr="000A4172" w:rsidRDefault="002A3E3D" w:rsidP="00C5348C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5C45E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 ноября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2022 года № </w:t>
            </w:r>
            <w:r w:rsidR="005C45E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271</w:t>
            </w:r>
            <w:bookmarkStart w:id="0" w:name="_GoBack"/>
            <w:bookmarkEnd w:id="0"/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</w:p>
          <w:p w:rsidR="002A3E3D" w:rsidRPr="000A4172" w:rsidRDefault="002A3E3D" w:rsidP="00C5348C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Порядка </w:t>
            </w:r>
            <w:r w:rsidRPr="00616E75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формирования, ведения, ежегодного дополнения и опубликования перечня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2A3E3D" w:rsidRPr="000A4172" w:rsidRDefault="002A3E3D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0A4172" w:rsidRDefault="002A3E3D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0A4172" w:rsidRDefault="002A3E3D" w:rsidP="00C5348C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2A3E3D" w:rsidRDefault="002A3E3D" w:rsidP="00C5348C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Виды муниципального имущества, которое используется для</w:t>
      </w:r>
      <w:r w:rsidRPr="002A3E3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br/>
        <w:t xml:space="preserve">формирования перечня муниципального имущества 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Белозер</w:t>
      </w:r>
      <w:r w:rsidRPr="002A3E3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ского муниципального округа Курганской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2A3E3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 и иным лицам, установленным действующим законодательством Российской Федерации</w:t>
      </w:r>
    </w:p>
    <w:p w:rsidR="002A3E3D" w:rsidRPr="002A3E3D" w:rsidRDefault="002A3E3D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2A3E3D" w:rsidRDefault="002A3E3D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2A3E3D" w:rsidRPr="002A3E3D" w:rsidRDefault="002A3E3D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2A3E3D" w:rsidRPr="002A3E3D" w:rsidRDefault="002A3E3D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2A3E3D" w:rsidRPr="002A3E3D" w:rsidRDefault="002A3E3D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2A3E3D" w:rsidRPr="002A3E3D" w:rsidRDefault="002A3E3D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2A3E3D" w:rsidRPr="002A3E3D" w:rsidRDefault="002A3E3D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6. Объекты недвижимого имущества, планируемые к использованию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под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административные,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торговые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или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офисные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цели,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находящиеся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границах населенных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пунктов.</w:t>
      </w:r>
    </w:p>
    <w:p w:rsidR="006F78EC" w:rsidRDefault="002A3E3D" w:rsidP="00C534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7. </w:t>
      </w:r>
      <w:proofErr w:type="gramStart"/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Имущество, закрепленное на праве хозяйственного ведения или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оперативного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управления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за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унитарным предприятием, на праве оперативного управления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з</w:t>
      </w:r>
      <w:r>
        <w:rPr>
          <w:rFonts w:ascii="PT Astra Sans" w:eastAsia="Times New Roman" w:hAnsi="PT Astra Sans" w:cs="Times New Roman"/>
          <w:spacing w:val="-68"/>
          <w:sz w:val="24"/>
          <w:szCs w:val="24"/>
          <w:lang w:eastAsia="ru-RU"/>
        </w:rPr>
        <w:t>а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учреждением,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владеющим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им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соответственно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на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праве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хозяйственного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ведения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или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оперативного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управления, – по предложению балансодержателя о включении указанного</w:t>
      </w:r>
      <w:r w:rsidRPr="002A3E3D">
        <w:rPr>
          <w:rFonts w:ascii="PT Astra Sans" w:eastAsia="Times New Roman" w:hAnsi="PT Astra Sans" w:cs="Times New Roman"/>
          <w:spacing w:val="-67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имущества</w:t>
      </w:r>
      <w:r w:rsidRPr="002A3E3D">
        <w:rPr>
          <w:rFonts w:ascii="PT Astra Sans" w:eastAsia="Times New Roman" w:hAnsi="PT Astra Sans" w:cs="Times New Roman"/>
          <w:spacing w:val="-10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Pr="002A3E3D">
        <w:rPr>
          <w:rFonts w:ascii="PT Astra Sans" w:eastAsia="Times New Roman" w:hAnsi="PT Astra Sans" w:cs="Times New Roman"/>
          <w:spacing w:val="-9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соответствующий</w:t>
      </w:r>
      <w:r w:rsidRPr="002A3E3D">
        <w:rPr>
          <w:rFonts w:ascii="PT Astra Sans" w:eastAsia="Times New Roman" w:hAnsi="PT Astra Sans" w:cs="Times New Roman"/>
          <w:spacing w:val="-7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перечень,</w:t>
      </w:r>
      <w:r w:rsidRPr="002A3E3D">
        <w:rPr>
          <w:rFonts w:ascii="PT Astra Sans" w:eastAsia="Times New Roman" w:hAnsi="PT Astra Sans" w:cs="Times New Roman"/>
          <w:spacing w:val="-10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Pr="002A3E3D">
        <w:rPr>
          <w:rFonts w:ascii="PT Astra Sans" w:eastAsia="Times New Roman" w:hAnsi="PT Astra Sans" w:cs="Times New Roman"/>
          <w:spacing w:val="-9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также</w:t>
      </w:r>
      <w:r w:rsidRPr="002A3E3D">
        <w:rPr>
          <w:rFonts w:ascii="PT Astra Sans" w:eastAsia="Times New Roman" w:hAnsi="PT Astra Sans" w:cs="Times New Roman"/>
          <w:spacing w:val="-8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при</w:t>
      </w:r>
      <w:r w:rsidRPr="002A3E3D">
        <w:rPr>
          <w:rFonts w:ascii="PT Astra Sans" w:eastAsia="Times New Roman" w:hAnsi="PT Astra Sans" w:cs="Times New Roman"/>
          <w:spacing w:val="-9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наличии</w:t>
      </w:r>
      <w:r w:rsidRPr="002A3E3D">
        <w:rPr>
          <w:rFonts w:ascii="PT Astra Sans" w:eastAsia="Times New Roman" w:hAnsi="PT Astra Sans" w:cs="Times New Roman"/>
          <w:spacing w:val="-9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письменного</w:t>
      </w:r>
      <w:r w:rsidRPr="002A3E3D">
        <w:rPr>
          <w:rFonts w:ascii="PT Astra Sans" w:eastAsia="Times New Roman" w:hAnsi="PT Astra Sans" w:cs="Times New Roman"/>
          <w:spacing w:val="-67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согласия органа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местного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самоуправления,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уполномоченного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на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согласование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сделки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</w:t>
      </w:r>
      <w:r w:rsidRPr="002A3E3D">
        <w:rPr>
          <w:rFonts w:ascii="PT Astra Sans" w:eastAsia="Times New Roman" w:hAnsi="PT Astra Sans" w:cs="Times New Roman"/>
          <w:spacing w:val="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соответствующим</w:t>
      </w:r>
      <w:r w:rsidRPr="002A3E3D">
        <w:rPr>
          <w:rFonts w:ascii="PT Astra Sans" w:eastAsia="Times New Roman" w:hAnsi="PT Astra Sans" w:cs="Times New Roman"/>
          <w:spacing w:val="-1"/>
          <w:sz w:val="24"/>
          <w:szCs w:val="24"/>
          <w:lang w:eastAsia="ru-RU"/>
        </w:rPr>
        <w:t xml:space="preserve"> </w:t>
      </w:r>
      <w:r w:rsidRPr="002A3E3D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имуществом.</w:t>
      </w:r>
      <w:proofErr w:type="gramEnd"/>
    </w:p>
    <w:sectPr w:rsidR="006F78EC" w:rsidSect="00B31C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55" w:rsidRDefault="00411455" w:rsidP="00BC5F33">
      <w:pPr>
        <w:spacing w:after="0" w:line="240" w:lineRule="auto"/>
      </w:pPr>
      <w:r>
        <w:separator/>
      </w:r>
    </w:p>
  </w:endnote>
  <w:endnote w:type="continuationSeparator" w:id="0">
    <w:p w:rsidR="00411455" w:rsidRDefault="00411455" w:rsidP="00BC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55" w:rsidRDefault="00411455" w:rsidP="00BC5F33">
      <w:pPr>
        <w:spacing w:after="0" w:line="240" w:lineRule="auto"/>
      </w:pPr>
      <w:r>
        <w:separator/>
      </w:r>
    </w:p>
  </w:footnote>
  <w:footnote w:type="continuationSeparator" w:id="0">
    <w:p w:rsidR="00411455" w:rsidRDefault="00411455" w:rsidP="00BC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103808"/>
      <w:docPartObj>
        <w:docPartGallery w:val="Page Numbers (Top of Page)"/>
        <w:docPartUnique/>
      </w:docPartObj>
    </w:sdtPr>
    <w:sdtEndPr/>
    <w:sdtContent>
      <w:p w:rsidR="00BC5F33" w:rsidRDefault="00BC5F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EB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17E38"/>
    <w:rsid w:val="00022097"/>
    <w:rsid w:val="00041A99"/>
    <w:rsid w:val="000930A8"/>
    <w:rsid w:val="000A4172"/>
    <w:rsid w:val="000B6732"/>
    <w:rsid w:val="000D516E"/>
    <w:rsid w:val="00102666"/>
    <w:rsid w:val="00106D6B"/>
    <w:rsid w:val="00122BE4"/>
    <w:rsid w:val="0015751D"/>
    <w:rsid w:val="00157943"/>
    <w:rsid w:val="00185C5C"/>
    <w:rsid w:val="001B0031"/>
    <w:rsid w:val="001D2C56"/>
    <w:rsid w:val="002411FA"/>
    <w:rsid w:val="00241E26"/>
    <w:rsid w:val="00267326"/>
    <w:rsid w:val="00275332"/>
    <w:rsid w:val="00281EAA"/>
    <w:rsid w:val="002A3E3D"/>
    <w:rsid w:val="002C1F10"/>
    <w:rsid w:val="002E6969"/>
    <w:rsid w:val="0030185E"/>
    <w:rsid w:val="003229B2"/>
    <w:rsid w:val="00370F8C"/>
    <w:rsid w:val="003A19F9"/>
    <w:rsid w:val="00411455"/>
    <w:rsid w:val="00426583"/>
    <w:rsid w:val="00432F5E"/>
    <w:rsid w:val="004450A8"/>
    <w:rsid w:val="004D4A14"/>
    <w:rsid w:val="00524CC6"/>
    <w:rsid w:val="00561B9A"/>
    <w:rsid w:val="00576101"/>
    <w:rsid w:val="00593A9A"/>
    <w:rsid w:val="005B1FCA"/>
    <w:rsid w:val="005C45EB"/>
    <w:rsid w:val="006002C9"/>
    <w:rsid w:val="00616E75"/>
    <w:rsid w:val="00644F63"/>
    <w:rsid w:val="006700FC"/>
    <w:rsid w:val="0068353B"/>
    <w:rsid w:val="0068430E"/>
    <w:rsid w:val="00691B5E"/>
    <w:rsid w:val="00695193"/>
    <w:rsid w:val="006A5F21"/>
    <w:rsid w:val="006C3517"/>
    <w:rsid w:val="006D7541"/>
    <w:rsid w:val="006F78EC"/>
    <w:rsid w:val="00711279"/>
    <w:rsid w:val="00720E03"/>
    <w:rsid w:val="00762463"/>
    <w:rsid w:val="00765C6B"/>
    <w:rsid w:val="007B0AA9"/>
    <w:rsid w:val="007B5341"/>
    <w:rsid w:val="007C27DD"/>
    <w:rsid w:val="007E138C"/>
    <w:rsid w:val="008044AB"/>
    <w:rsid w:val="008100FC"/>
    <w:rsid w:val="00813100"/>
    <w:rsid w:val="00832783"/>
    <w:rsid w:val="00861380"/>
    <w:rsid w:val="008921EB"/>
    <w:rsid w:val="008A0622"/>
    <w:rsid w:val="008A6475"/>
    <w:rsid w:val="008B0F52"/>
    <w:rsid w:val="008C7CCB"/>
    <w:rsid w:val="008E330A"/>
    <w:rsid w:val="0093660F"/>
    <w:rsid w:val="009C59E2"/>
    <w:rsid w:val="009D01AC"/>
    <w:rsid w:val="009D0436"/>
    <w:rsid w:val="009D7B31"/>
    <w:rsid w:val="00A23573"/>
    <w:rsid w:val="00A4033A"/>
    <w:rsid w:val="00AC5E9A"/>
    <w:rsid w:val="00AF6BD5"/>
    <w:rsid w:val="00B0181A"/>
    <w:rsid w:val="00B31C69"/>
    <w:rsid w:val="00B83E84"/>
    <w:rsid w:val="00BC2AFA"/>
    <w:rsid w:val="00BC5F33"/>
    <w:rsid w:val="00BD4D5E"/>
    <w:rsid w:val="00BE6122"/>
    <w:rsid w:val="00BF4960"/>
    <w:rsid w:val="00C105E4"/>
    <w:rsid w:val="00C45522"/>
    <w:rsid w:val="00C5348C"/>
    <w:rsid w:val="00C54A09"/>
    <w:rsid w:val="00C81613"/>
    <w:rsid w:val="00CD0F67"/>
    <w:rsid w:val="00CE10D9"/>
    <w:rsid w:val="00CF70DE"/>
    <w:rsid w:val="00D05D57"/>
    <w:rsid w:val="00D25609"/>
    <w:rsid w:val="00D907B0"/>
    <w:rsid w:val="00DA6984"/>
    <w:rsid w:val="00DA6A97"/>
    <w:rsid w:val="00DB43D8"/>
    <w:rsid w:val="00E139F2"/>
    <w:rsid w:val="00E16D0C"/>
    <w:rsid w:val="00E244B4"/>
    <w:rsid w:val="00E33E30"/>
    <w:rsid w:val="00E723AA"/>
    <w:rsid w:val="00E86AF2"/>
    <w:rsid w:val="00EC0B8A"/>
    <w:rsid w:val="00EF39E1"/>
    <w:rsid w:val="00F202D7"/>
    <w:rsid w:val="00F2460C"/>
    <w:rsid w:val="00F25806"/>
    <w:rsid w:val="00F60E1F"/>
    <w:rsid w:val="00FA0076"/>
    <w:rsid w:val="00FB3371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F33"/>
  </w:style>
  <w:style w:type="paragraph" w:styleId="a9">
    <w:name w:val="footer"/>
    <w:basedOn w:val="a"/>
    <w:link w:val="aa"/>
    <w:uiPriority w:val="99"/>
    <w:unhideWhenUsed/>
    <w:rsid w:val="00BC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F33"/>
  </w:style>
  <w:style w:type="paragraph" w:styleId="ab">
    <w:name w:val="Balloon Text"/>
    <w:basedOn w:val="a"/>
    <w:link w:val="ac"/>
    <w:uiPriority w:val="99"/>
    <w:semiHidden/>
    <w:unhideWhenUsed/>
    <w:rsid w:val="00C5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F33"/>
  </w:style>
  <w:style w:type="paragraph" w:styleId="a9">
    <w:name w:val="footer"/>
    <w:basedOn w:val="a"/>
    <w:link w:val="aa"/>
    <w:uiPriority w:val="99"/>
    <w:unhideWhenUsed/>
    <w:rsid w:val="00BC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F33"/>
  </w:style>
  <w:style w:type="paragraph" w:styleId="ab">
    <w:name w:val="Balloon Text"/>
    <w:basedOn w:val="a"/>
    <w:link w:val="ac"/>
    <w:uiPriority w:val="99"/>
    <w:semiHidden/>
    <w:unhideWhenUsed/>
    <w:rsid w:val="00C5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5E2C-36A4-4D65-B526-C5EB182F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13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</cp:lastModifiedBy>
  <cp:revision>73</cp:revision>
  <cp:lastPrinted>2022-11-23T10:13:00Z</cp:lastPrinted>
  <dcterms:created xsi:type="dcterms:W3CDTF">2022-07-12T12:50:00Z</dcterms:created>
  <dcterms:modified xsi:type="dcterms:W3CDTF">2022-11-29T04:28:00Z</dcterms:modified>
</cp:coreProperties>
</file>