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13" w:rsidRPr="007A4413" w:rsidRDefault="007A4413" w:rsidP="007A4413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7A4413">
        <w:rPr>
          <w:rFonts w:eastAsia="Times New Roman" w:cs="Times New Roman"/>
          <w:b/>
          <w:lang w:eastAsia="ru-RU" w:bidi="ar-SA"/>
        </w:rPr>
        <w:t>ПАСПОРТ</w:t>
      </w:r>
    </w:p>
    <w:p w:rsidR="007A4413" w:rsidRPr="007A4413" w:rsidRDefault="007A4413" w:rsidP="007A4413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7A4413">
        <w:rPr>
          <w:rFonts w:eastAsia="Times New Roman" w:cs="Times New Roman"/>
          <w:b/>
          <w:lang w:eastAsia="ru-RU" w:bidi="ar-SA"/>
        </w:rPr>
        <w:t>муниципальной программы Белозерского района</w:t>
      </w:r>
    </w:p>
    <w:p w:rsidR="007A4413" w:rsidRPr="007A4413" w:rsidRDefault="007A4413" w:rsidP="007A44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4413">
        <w:rPr>
          <w:rFonts w:ascii="Times New Roman" w:hAnsi="Times New Roman"/>
          <w:b/>
          <w:bCs/>
          <w:sz w:val="24"/>
          <w:szCs w:val="24"/>
        </w:rPr>
        <w:t>«Противодействие незаконному обороту наркотиков»</w:t>
      </w:r>
      <w:r w:rsidRPr="007A44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4413">
        <w:rPr>
          <w:rFonts w:ascii="Times New Roman" w:hAnsi="Times New Roman"/>
          <w:b/>
          <w:bCs/>
          <w:sz w:val="24"/>
          <w:szCs w:val="24"/>
        </w:rPr>
        <w:t>на 2015-2019 годы</w:t>
      </w:r>
    </w:p>
    <w:p w:rsidR="007A4413" w:rsidRPr="007A4413" w:rsidRDefault="007A4413" w:rsidP="007A44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949"/>
      </w:tblGrid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 xml:space="preserve">Наименование </w:t>
            </w:r>
            <w:proofErr w:type="gramStart"/>
            <w:r w:rsidRPr="007A4413">
              <w:rPr>
                <w:rFonts w:eastAsia="Times New Roman" w:cs="Times New Roman"/>
                <w:lang w:eastAsia="ru-RU" w:bidi="ar-SA"/>
              </w:rPr>
              <w:t>муниципальной</w:t>
            </w:r>
            <w:proofErr w:type="gramEnd"/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 xml:space="preserve">программы  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413">
              <w:rPr>
                <w:rFonts w:ascii="Times New Roman" w:hAnsi="Times New Roman"/>
                <w:bCs/>
                <w:sz w:val="24"/>
                <w:szCs w:val="24"/>
              </w:rPr>
              <w:t>«Противодействие незаконному обороту наркотиков» на 2015-2019 годы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Цель муниципальной программы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cs="Times New Roman"/>
              </w:rPr>
              <w:t xml:space="preserve">Совершенствование системы мер, направленных на предотвращение  незаконного оборота, спроса и потребления наркотических средств, психотропных веществ и их </w:t>
            </w:r>
            <w:proofErr w:type="spellStart"/>
            <w:r w:rsidRPr="007A4413">
              <w:rPr>
                <w:rFonts w:cs="Times New Roman"/>
              </w:rPr>
              <w:t>прекурсоров</w:t>
            </w:r>
            <w:proofErr w:type="spellEnd"/>
            <w:r w:rsidRPr="007A4413">
              <w:rPr>
                <w:rFonts w:cs="Times New Roman"/>
              </w:rPr>
              <w:t xml:space="preserve"> или аналогов (далее - наркотики), сильнодействующих веществ на территории Белозерского района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Задачи муниципальной программы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sz w:val="24"/>
                <w:szCs w:val="24"/>
              </w:rPr>
              <w:t>Выявление и пресечение преступлений  в сфере незаконного оборота наркотиков;</w:t>
            </w:r>
          </w:p>
          <w:p w:rsidR="007A4413" w:rsidRPr="007A4413" w:rsidRDefault="007A4413" w:rsidP="007A4413">
            <w:pPr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sz w:val="24"/>
                <w:szCs w:val="24"/>
              </w:rPr>
              <w:t xml:space="preserve">осуществление мониторинга ситуации, отражающей масштабы немедицинского потребления и распространения наркотиков, состояние преступности в данной сфере в Белозерском районе (далее - </w:t>
            </w:r>
            <w:proofErr w:type="spellStart"/>
            <w:r w:rsidRPr="007A4413">
              <w:rPr>
                <w:rFonts w:ascii="Times New Roman" w:eastAsia="Arial Unicode MS" w:hAnsi="Times New Roman"/>
                <w:sz w:val="24"/>
                <w:szCs w:val="24"/>
              </w:rPr>
              <w:t>наркоситуация</w:t>
            </w:r>
            <w:proofErr w:type="spellEnd"/>
            <w:r w:rsidRPr="007A4413">
              <w:rPr>
                <w:rFonts w:ascii="Times New Roman" w:eastAsia="Arial Unicode MS" w:hAnsi="Times New Roman"/>
                <w:sz w:val="24"/>
                <w:szCs w:val="24"/>
              </w:rPr>
              <w:t>);</w:t>
            </w:r>
          </w:p>
          <w:p w:rsidR="007A4413" w:rsidRPr="007A4413" w:rsidRDefault="007A4413" w:rsidP="007A4413">
            <w:pPr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sz w:val="24"/>
                <w:szCs w:val="24"/>
              </w:rPr>
              <w:t>повышение качества профилактической антинаркотической деятельности в образовательной и молодежной среде;</w:t>
            </w:r>
          </w:p>
          <w:p w:rsidR="007A4413" w:rsidRPr="007A4413" w:rsidRDefault="007A4413" w:rsidP="007A4413">
            <w:pPr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sz w:val="24"/>
                <w:szCs w:val="24"/>
              </w:rPr>
              <w:t xml:space="preserve">развитие информационно-пропагандистской работы, популяризация здорового образа жизни; </w:t>
            </w:r>
          </w:p>
          <w:p w:rsidR="007A4413" w:rsidRPr="007A4413" w:rsidRDefault="007A4413" w:rsidP="007A4413">
            <w:pPr>
              <w:spacing w:after="0" w:line="274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sz w:val="24"/>
                <w:szCs w:val="24"/>
              </w:rPr>
              <w:t>увеличение числа подростков и молодежи, занимающихся спортом, занятых общественно-полезной деятельностью;</w:t>
            </w:r>
          </w:p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Arial Unicode MS" w:cs="Times New Roman"/>
                <w:kern w:val="0"/>
                <w:lang w:eastAsia="ru-RU" w:bidi="ar-SA"/>
              </w:rPr>
              <w:t>совершенствование системы оказания наркологической медицинской помощи больным наркоманией и их реабилитации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 xml:space="preserve">Заказчик </w:t>
            </w:r>
            <w:proofErr w:type="gramStart"/>
            <w:r w:rsidRPr="007A4413">
              <w:rPr>
                <w:rFonts w:eastAsia="Times New Roman" w:cs="Times New Roman"/>
                <w:lang w:eastAsia="ru-RU" w:bidi="ar-SA"/>
              </w:rPr>
              <w:t>муниципальной</w:t>
            </w:r>
            <w:proofErr w:type="gramEnd"/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программы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Администрация Белозерского района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Исполнитель-координатор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муниципальной программы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Администрация Белозерского района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 xml:space="preserve">Разработчик </w:t>
            </w:r>
            <w:proofErr w:type="gramStart"/>
            <w:r w:rsidRPr="007A4413">
              <w:rPr>
                <w:rFonts w:eastAsia="Times New Roman" w:cs="Times New Roman"/>
                <w:lang w:eastAsia="ru-RU" w:bidi="ar-SA"/>
              </w:rPr>
              <w:t>муниципальной</w:t>
            </w:r>
            <w:proofErr w:type="gramEnd"/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программы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Администрация Белозерского района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 xml:space="preserve">Исполнители </w:t>
            </w:r>
            <w:proofErr w:type="gramStart"/>
            <w:r w:rsidRPr="007A4413">
              <w:rPr>
                <w:rFonts w:eastAsia="Times New Roman" w:cs="Times New Roman"/>
                <w:lang w:eastAsia="ru-RU" w:bidi="ar-SA"/>
              </w:rPr>
              <w:t>муниципальной</w:t>
            </w:r>
            <w:proofErr w:type="gramEnd"/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программы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>Администрация Белозерского района</w:t>
            </w:r>
            <w:r w:rsidRPr="007A4413">
              <w:rPr>
                <w:rFonts w:ascii="Times New Roman" w:hAnsi="Times New Roman"/>
                <w:sz w:val="24"/>
                <w:szCs w:val="24"/>
              </w:rPr>
              <w:t>,</w:t>
            </w: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Отдел культуры Администрации Белозерского района,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сектор молодежной политики, спорта и туризма Администрации Белозерского района, комиссия по делам несовершеннолетних и защите их прав при Администрации Белозерского района,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lastRenderedPageBreak/>
              <w:t xml:space="preserve">ГБУ «Комплексный центр социального обслуживания населения по Белозерскому району» (по согласованию), 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t>ГБУ «Редакция Белозерской районной газеты «Боевое слово» (по</w:t>
            </w: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согласованию),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t>О</w:t>
            </w:r>
            <w:r w:rsidRPr="007A441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тделение полиции «Белозерское» </w:t>
            </w:r>
            <w:r w:rsidRPr="007A4413">
              <w:rPr>
                <w:rFonts w:ascii="Times New Roman" w:hAnsi="Times New Roman"/>
                <w:sz w:val="24"/>
                <w:szCs w:val="24"/>
              </w:rPr>
              <w:t>межмуниципального отдела МВД России «</w:t>
            </w:r>
            <w:proofErr w:type="spellStart"/>
            <w:r w:rsidRPr="007A4413">
              <w:rPr>
                <w:rFonts w:ascii="Times New Roman" w:hAnsi="Times New Roman"/>
                <w:sz w:val="24"/>
                <w:szCs w:val="24"/>
              </w:rPr>
              <w:t>Варгашинский</w:t>
            </w:r>
            <w:proofErr w:type="spellEnd"/>
            <w:r w:rsidRPr="007A4413">
              <w:rPr>
                <w:rFonts w:ascii="Times New Roman" w:hAnsi="Times New Roman"/>
                <w:sz w:val="24"/>
                <w:szCs w:val="24"/>
              </w:rPr>
              <w:t xml:space="preserve">»      (по согласованию),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413">
              <w:rPr>
                <w:rFonts w:ascii="Times New Roman" w:hAnsi="Times New Roman"/>
                <w:bCs/>
                <w:sz w:val="24"/>
                <w:szCs w:val="24"/>
              </w:rPr>
              <w:t xml:space="preserve">ГБУ  «Белозерская центральная районная больница» (по согласованию),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>уголовно-исполнительная инспекция № 6 в Белозерском районе ФБУ МРУИИ №1 УФСИН России по Курганской области</w:t>
            </w:r>
            <w:r w:rsidRPr="007A4413">
              <w:rPr>
                <w:rFonts w:ascii="Times New Roman" w:hAnsi="Times New Roman"/>
                <w:sz w:val="24"/>
                <w:szCs w:val="24"/>
              </w:rPr>
              <w:t xml:space="preserve"> (по согласованию), О</w:t>
            </w:r>
            <w:r w:rsidRPr="007A4413">
              <w:rPr>
                <w:rFonts w:ascii="Times New Roman" w:hAnsi="Times New Roman"/>
                <w:sz w:val="24"/>
                <w:szCs w:val="24"/>
              </w:rPr>
              <w:t xml:space="preserve">тдел по </w:t>
            </w:r>
            <w:proofErr w:type="spellStart"/>
            <w:r w:rsidRPr="007A4413">
              <w:rPr>
                <w:rFonts w:ascii="Times New Roman" w:hAnsi="Times New Roman"/>
                <w:sz w:val="24"/>
                <w:szCs w:val="24"/>
              </w:rPr>
              <w:t>Варгашинскому</w:t>
            </w:r>
            <w:proofErr w:type="spellEnd"/>
            <w:r w:rsidRPr="007A4413">
              <w:rPr>
                <w:rFonts w:ascii="Times New Roman" w:hAnsi="Times New Roman"/>
                <w:sz w:val="24"/>
                <w:szCs w:val="24"/>
              </w:rPr>
              <w:t xml:space="preserve">, Белозерскому и </w:t>
            </w:r>
            <w:proofErr w:type="spellStart"/>
            <w:r w:rsidRPr="007A4413">
              <w:rPr>
                <w:rFonts w:ascii="Times New Roman" w:hAnsi="Times New Roman"/>
                <w:sz w:val="24"/>
                <w:szCs w:val="24"/>
              </w:rPr>
              <w:t>Мокроусовскому</w:t>
            </w:r>
            <w:proofErr w:type="spellEnd"/>
            <w:r w:rsidRPr="007A4413">
              <w:rPr>
                <w:rFonts w:ascii="Times New Roman" w:hAnsi="Times New Roman"/>
                <w:sz w:val="24"/>
                <w:szCs w:val="24"/>
              </w:rPr>
              <w:t xml:space="preserve"> районам ФКУ «Военный комиссариат Курганской области» (по согласованию),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 муниципальных образований Белозерского района (по согласованию),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>организации и учреждения, участвующие в выполнении мероприятий Программы (по согласованию)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lastRenderedPageBreak/>
              <w:t>Целевые индикаторы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муниципальной программы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Доля зарегистрированных тяжких и особо тяжких преступлений, связанных с незаконным оборотом </w:t>
            </w:r>
            <w:r w:rsidRPr="007A4413">
              <w:rPr>
                <w:rFonts w:ascii="Times New Roman" w:eastAsia="Arial" w:hAnsi="Times New Roman"/>
                <w:color w:val="000000"/>
                <w:kern w:val="2"/>
                <w:sz w:val="24"/>
                <w:szCs w:val="24"/>
              </w:rPr>
              <w:t>наркотиков, сильнодействующих веществ</w:t>
            </w:r>
            <w:proofErr w:type="gramStart"/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(%);</w:t>
            </w:r>
            <w:proofErr w:type="gramEnd"/>
          </w:p>
          <w:p w:rsidR="007A4413" w:rsidRPr="007A4413" w:rsidRDefault="007A4413" w:rsidP="007A441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доля предварительно расследованных органами внутренних дел и </w:t>
            </w:r>
            <w:proofErr w:type="spellStart"/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>наркоконтроля</w:t>
            </w:r>
            <w:proofErr w:type="spellEnd"/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преступлений, связанных с незаконным оборотом </w:t>
            </w:r>
            <w:r w:rsidRPr="007A4413">
              <w:rPr>
                <w:rFonts w:ascii="Times New Roman" w:eastAsia="Arial" w:hAnsi="Times New Roman"/>
                <w:color w:val="000000"/>
                <w:kern w:val="2"/>
                <w:sz w:val="24"/>
                <w:szCs w:val="24"/>
              </w:rPr>
              <w:t>наркотиков</w:t>
            </w:r>
            <w:proofErr w:type="gramStart"/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(%);</w:t>
            </w:r>
            <w:proofErr w:type="gramEnd"/>
          </w:p>
          <w:p w:rsidR="007A4413" w:rsidRPr="007A4413" w:rsidRDefault="007A4413" w:rsidP="007A441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>удельный вес несовершеннолетних, состоящих на чете и профилактическом наблюдении в наркологических диспансерах, в общей численности несовершеннолетних(%);</w:t>
            </w:r>
          </w:p>
          <w:p w:rsidR="007A4413" w:rsidRPr="007A4413" w:rsidRDefault="007A4413" w:rsidP="007A4413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>доля молодежи, охваченной профилактическими антинаркотическими мероприятиями, организованными волонтерскими отрядами</w:t>
            </w:r>
            <w:proofErr w:type="gramStart"/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(%);</w:t>
            </w:r>
            <w:proofErr w:type="gramEnd"/>
          </w:p>
          <w:p w:rsidR="007A4413" w:rsidRPr="007A4413" w:rsidRDefault="007A4413" w:rsidP="007A4413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color w:val="000000"/>
                <w:kern w:val="2"/>
                <w:sz w:val="24"/>
                <w:szCs w:val="24"/>
              </w:rPr>
            </w:pPr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число больных </w:t>
            </w:r>
            <w:proofErr w:type="gramStart"/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>с</w:t>
            </w:r>
            <w:proofErr w:type="gramEnd"/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впервые </w:t>
            </w:r>
            <w:proofErr w:type="gramStart"/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>в</w:t>
            </w:r>
            <w:proofErr w:type="gramEnd"/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жизни установленным диагнозом наркомании </w:t>
            </w:r>
            <w:r w:rsidRPr="007A4413">
              <w:rPr>
                <w:rFonts w:ascii="Times New Roman" w:eastAsia="Arial" w:hAnsi="Times New Roman"/>
                <w:color w:val="000000"/>
                <w:kern w:val="2"/>
                <w:sz w:val="24"/>
                <w:szCs w:val="24"/>
              </w:rPr>
              <w:t>(человек);</w:t>
            </w:r>
          </w:p>
          <w:p w:rsidR="007A4413" w:rsidRPr="007A4413" w:rsidRDefault="007A4413" w:rsidP="007A44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 w:rsidRPr="007A4413">
              <w:rPr>
                <w:rFonts w:ascii="Times New Roman" w:eastAsia="Arial" w:hAnsi="Times New Roman"/>
                <w:kern w:val="2"/>
                <w:sz w:val="24"/>
                <w:szCs w:val="24"/>
              </w:rPr>
              <w:t>число лиц, больных наркоманией;</w:t>
            </w:r>
          </w:p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Arial" w:cs="Times New Roman"/>
                <w:kern w:val="2"/>
                <w:lang w:eastAsia="ru-RU" w:bidi="ar-SA"/>
              </w:rPr>
              <w:t>число наркологических больных</w:t>
            </w:r>
            <w:r w:rsidRPr="007A4413">
              <w:rPr>
                <w:rFonts w:eastAsia="Arial" w:cs="Times New Roman"/>
                <w:color w:val="0000FF"/>
                <w:kern w:val="2"/>
                <w:lang w:eastAsia="ru-RU" w:bidi="ar-SA"/>
              </w:rPr>
              <w:t>,</w:t>
            </w:r>
            <w:r w:rsidRPr="007A4413">
              <w:rPr>
                <w:rFonts w:eastAsia="Arial" w:cs="Times New Roman"/>
                <w:kern w:val="2"/>
                <w:lang w:eastAsia="ru-RU" w:bidi="ar-SA"/>
              </w:rPr>
              <w:t xml:space="preserve"> находящихся в ремиссии от 1 до 2 лет </w:t>
            </w:r>
            <w:r w:rsidRPr="007A4413">
              <w:rPr>
                <w:rFonts w:eastAsia="Arial" w:cs="Times New Roman"/>
                <w:color w:val="000000"/>
                <w:kern w:val="2"/>
                <w:lang w:eastAsia="ru-RU" w:bidi="ar-SA"/>
              </w:rPr>
              <w:t>(человек)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Сроки и этапы реализации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муниципальной программы</w:t>
            </w:r>
          </w:p>
          <w:p w:rsidR="007A4413" w:rsidRPr="007A4413" w:rsidRDefault="007A4413" w:rsidP="00F27A60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cs="Times New Roman"/>
                <w:bCs/>
              </w:rPr>
              <w:t>2015-2019 годы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 xml:space="preserve">Перечень подпрограмм </w:t>
            </w:r>
            <w:proofErr w:type="gramStart"/>
            <w:r w:rsidRPr="007A4413">
              <w:rPr>
                <w:rFonts w:eastAsia="Times New Roman" w:cs="Times New Roman"/>
                <w:lang w:eastAsia="ru-RU" w:bidi="ar-SA"/>
              </w:rPr>
              <w:t>муниципальной</w:t>
            </w:r>
            <w:proofErr w:type="gramEnd"/>
          </w:p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программы</w:t>
            </w:r>
          </w:p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lastRenderedPageBreak/>
              <w:t>(при их наличии)</w:t>
            </w:r>
          </w:p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lastRenderedPageBreak/>
              <w:t>Отсутствуют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lastRenderedPageBreak/>
              <w:t>Финансовое обеспечение</w:t>
            </w:r>
          </w:p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муниципальной программы</w:t>
            </w:r>
          </w:p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spacing w:after="0" w:line="274" w:lineRule="exact"/>
              <w:ind w:left="40" w:right="23"/>
              <w:jc w:val="both"/>
              <w:rPr>
                <w:rStyle w:val="411pt"/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 xml:space="preserve">Планируемый общий объем бюджетного финансирования Программы в 2015 - 2019 годах за счет средств районного бюджета составит </w:t>
            </w:r>
            <w:r w:rsidRPr="007A4413">
              <w:rPr>
                <w:rStyle w:val="411pt"/>
                <w:rFonts w:ascii="Times New Roman" w:hAnsi="Times New Roman"/>
                <w:sz w:val="24"/>
                <w:szCs w:val="24"/>
              </w:rPr>
              <w:t>851,0 тысяча рублей, в том числе:</w:t>
            </w:r>
          </w:p>
          <w:p w:rsidR="007A4413" w:rsidRPr="007A4413" w:rsidRDefault="007A4413" w:rsidP="007A4413">
            <w:pPr>
              <w:spacing w:after="0" w:line="274" w:lineRule="exact"/>
              <w:ind w:left="40" w:right="23" w:hanging="7"/>
              <w:jc w:val="both"/>
              <w:rPr>
                <w:rStyle w:val="411pt"/>
                <w:rFonts w:ascii="Times New Roman" w:hAnsi="Times New Roman"/>
                <w:sz w:val="24"/>
                <w:szCs w:val="24"/>
              </w:rPr>
            </w:pPr>
            <w:r w:rsidRPr="007A4413">
              <w:rPr>
                <w:rStyle w:val="411pt"/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7A4413">
              <w:rPr>
                <w:rFonts w:ascii="Times New Roman" w:hAnsi="Times New Roman"/>
                <w:sz w:val="24"/>
                <w:szCs w:val="24"/>
              </w:rPr>
              <w:t>161,4 тыс. рублей;</w:t>
            </w:r>
          </w:p>
          <w:p w:rsidR="007A4413" w:rsidRPr="007A4413" w:rsidRDefault="007A4413" w:rsidP="007A4413">
            <w:pPr>
              <w:spacing w:after="0" w:line="274" w:lineRule="exact"/>
              <w:ind w:left="40" w:right="23" w:hanging="7"/>
              <w:jc w:val="both"/>
              <w:rPr>
                <w:rStyle w:val="411pt"/>
                <w:rFonts w:ascii="Times New Roman" w:hAnsi="Times New Roman"/>
                <w:sz w:val="24"/>
                <w:szCs w:val="24"/>
              </w:rPr>
            </w:pPr>
            <w:r w:rsidRPr="007A4413">
              <w:rPr>
                <w:rStyle w:val="411pt"/>
                <w:rFonts w:ascii="Times New Roman" w:hAnsi="Times New Roman"/>
                <w:sz w:val="24"/>
                <w:szCs w:val="24"/>
              </w:rPr>
              <w:t>2016 год – 162,1 тыс. рублей;</w:t>
            </w:r>
          </w:p>
          <w:p w:rsidR="007A4413" w:rsidRPr="007A4413" w:rsidRDefault="007A4413" w:rsidP="007A4413">
            <w:pPr>
              <w:spacing w:after="0" w:line="274" w:lineRule="exact"/>
              <w:ind w:left="40" w:right="23" w:hanging="7"/>
              <w:jc w:val="both"/>
              <w:rPr>
                <w:rStyle w:val="411pt"/>
                <w:rFonts w:ascii="Times New Roman" w:hAnsi="Times New Roman"/>
                <w:sz w:val="24"/>
                <w:szCs w:val="24"/>
              </w:rPr>
            </w:pPr>
            <w:r w:rsidRPr="007A4413">
              <w:rPr>
                <w:rStyle w:val="411pt"/>
                <w:rFonts w:ascii="Times New Roman" w:hAnsi="Times New Roman"/>
                <w:sz w:val="24"/>
                <w:szCs w:val="24"/>
              </w:rPr>
              <w:t>2017 год – 172,3 тыс. рублей;</w:t>
            </w:r>
          </w:p>
          <w:p w:rsidR="007A4413" w:rsidRPr="007A4413" w:rsidRDefault="007A4413" w:rsidP="007A4413">
            <w:pPr>
              <w:spacing w:after="0" w:line="274" w:lineRule="exact"/>
              <w:ind w:left="40" w:right="23" w:hanging="7"/>
              <w:jc w:val="both"/>
              <w:rPr>
                <w:rStyle w:val="411pt"/>
                <w:rFonts w:ascii="Times New Roman" w:hAnsi="Times New Roman"/>
                <w:sz w:val="24"/>
                <w:szCs w:val="24"/>
              </w:rPr>
            </w:pPr>
            <w:r w:rsidRPr="007A4413">
              <w:rPr>
                <w:rStyle w:val="411pt"/>
                <w:rFonts w:ascii="Times New Roman" w:hAnsi="Times New Roman"/>
                <w:sz w:val="24"/>
                <w:szCs w:val="24"/>
              </w:rPr>
              <w:t>2018 год – 174,0 тыс. рублей;</w:t>
            </w:r>
          </w:p>
          <w:p w:rsidR="007A4413" w:rsidRPr="007A4413" w:rsidRDefault="007A4413" w:rsidP="007A4413">
            <w:pPr>
              <w:spacing w:after="0" w:line="274" w:lineRule="exact"/>
              <w:ind w:left="40" w:right="23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Style w:val="411pt"/>
                <w:rFonts w:ascii="Times New Roman" w:hAnsi="Times New Roman"/>
                <w:sz w:val="24"/>
                <w:szCs w:val="24"/>
              </w:rPr>
              <w:t>2019 год – 181,2 тыс. рублей.</w:t>
            </w:r>
          </w:p>
        </w:tc>
      </w:tr>
      <w:tr w:rsidR="007A4413" w:rsidRPr="007A4413" w:rsidTr="007A4413">
        <w:tc>
          <w:tcPr>
            <w:tcW w:w="4523" w:type="dxa"/>
            <w:shd w:val="clear" w:color="auto" w:fill="auto"/>
          </w:tcPr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>Ожидаемые конечные результаты</w:t>
            </w:r>
          </w:p>
          <w:p w:rsidR="007A4413" w:rsidRPr="007A4413" w:rsidRDefault="007A4413" w:rsidP="007A4413">
            <w:pPr>
              <w:pStyle w:val="Standard"/>
              <w:rPr>
                <w:rFonts w:eastAsia="Times New Roman" w:cs="Times New Roman"/>
                <w:lang w:eastAsia="ru-RU" w:bidi="ar-SA"/>
              </w:rPr>
            </w:pPr>
            <w:r w:rsidRPr="007A4413">
              <w:rPr>
                <w:rFonts w:eastAsia="Times New Roman" w:cs="Times New Roman"/>
                <w:lang w:eastAsia="ru-RU" w:bidi="ar-SA"/>
              </w:rPr>
              <w:t xml:space="preserve"> муниципальной программы</w:t>
            </w:r>
          </w:p>
        </w:tc>
        <w:tc>
          <w:tcPr>
            <w:tcW w:w="4949" w:type="dxa"/>
            <w:shd w:val="clear" w:color="auto" w:fill="auto"/>
          </w:tcPr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>Создание в Белозерском районе условий для формирования здорового образа жизни и улучшения демографической ситуации;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 xml:space="preserve">повышение уровня защищенности граждан Белозерского района от </w:t>
            </w:r>
            <w:proofErr w:type="spellStart"/>
            <w:r w:rsidRPr="007A4413">
              <w:rPr>
                <w:rFonts w:ascii="Times New Roman" w:hAnsi="Times New Roman"/>
                <w:sz w:val="24"/>
                <w:szCs w:val="24"/>
              </w:rPr>
              <w:t>наркоугрозы</w:t>
            </w:r>
            <w:proofErr w:type="spellEnd"/>
            <w:r w:rsidRPr="007A44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>снижение уровня заболеваемости и смертности населения Белозерского района за счет профилактики наркомании;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>повышение качества и результативности противодействия преступности в сфере незаконного оборота наркотиков;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доступности наркологической помощи населению Белозерского района;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 xml:space="preserve">снижение незаконного распространения наркотиков, сильнодействующих веществ на муниципальном уровне, разобщение преступных групп, перекрытие каналов поступления наркотиков, сильнодействующих веществ на территорию Белозерского района; </w:t>
            </w:r>
          </w:p>
          <w:p w:rsidR="007A4413" w:rsidRPr="007A4413" w:rsidRDefault="007A4413" w:rsidP="007A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>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деятельности;</w:t>
            </w:r>
          </w:p>
          <w:p w:rsidR="007A4413" w:rsidRPr="007A4413" w:rsidRDefault="007A4413" w:rsidP="007A4413">
            <w:pPr>
              <w:spacing w:after="0" w:line="240" w:lineRule="auto"/>
              <w:ind w:left="33" w:right="62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 xml:space="preserve">стабилизация показателей первичной заболеваемости наркоманией, положительная динамика снижения уровня наркологической заболеваемости; </w:t>
            </w:r>
          </w:p>
          <w:p w:rsidR="007A4413" w:rsidRPr="007A4413" w:rsidRDefault="007A4413" w:rsidP="007A4413">
            <w:pPr>
              <w:spacing w:after="0" w:line="240" w:lineRule="auto"/>
              <w:ind w:left="33" w:right="62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>увеличение числа подростков и молодежи, занимающихся спортом, занятых общественно-полезной деятельностью, а также вовлеченных в волонтерское движение;</w:t>
            </w:r>
          </w:p>
          <w:p w:rsidR="007A4413" w:rsidRPr="007A4413" w:rsidRDefault="007A4413" w:rsidP="007A4413">
            <w:pPr>
              <w:spacing w:after="0" w:line="240" w:lineRule="auto"/>
              <w:ind w:left="33" w:right="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413">
              <w:rPr>
                <w:rFonts w:ascii="Times New Roman" w:hAnsi="Times New Roman"/>
                <w:sz w:val="24"/>
                <w:szCs w:val="24"/>
              </w:rPr>
              <w:t xml:space="preserve">уменьшение числа несовершеннолетних, состоящих на учете в связи с употреблением наркотиков в подразделениях по делам несовершеннолетних органов внутренних дел, а также на диспансерном и профилактическом учетах в </w:t>
            </w:r>
            <w:r w:rsidRPr="007A4413">
              <w:rPr>
                <w:rFonts w:ascii="Times New Roman" w:hAnsi="Times New Roman"/>
                <w:sz w:val="24"/>
                <w:szCs w:val="24"/>
              </w:rPr>
              <w:lastRenderedPageBreak/>
              <w:t>наркологическом кабинете ГБУ «Белозерская ЦРБ»;</w:t>
            </w:r>
            <w:proofErr w:type="gramEnd"/>
          </w:p>
          <w:p w:rsidR="007A4413" w:rsidRPr="007A4413" w:rsidRDefault="007A4413" w:rsidP="007A4413">
            <w:pPr>
              <w:tabs>
                <w:tab w:val="left" w:pos="6220"/>
                <w:tab w:val="left" w:pos="8716"/>
              </w:tabs>
              <w:spacing w:after="0" w:line="240" w:lineRule="auto"/>
              <w:ind w:left="33" w:right="62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 xml:space="preserve">выявление лучшего муниципального опыта и отработка различных технологий работы в области профилактики употребления </w:t>
            </w:r>
            <w:proofErr w:type="spellStart"/>
            <w:r w:rsidRPr="007A441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7A4413">
              <w:rPr>
                <w:rFonts w:ascii="Times New Roman" w:hAnsi="Times New Roman"/>
                <w:sz w:val="24"/>
                <w:szCs w:val="24"/>
              </w:rPr>
              <w:t xml:space="preserve"> веществ, формирования здорового образа жизни в молодежной среде;</w:t>
            </w:r>
          </w:p>
          <w:p w:rsidR="007A4413" w:rsidRPr="007A4413" w:rsidRDefault="007A4413" w:rsidP="007A4413">
            <w:pPr>
              <w:tabs>
                <w:tab w:val="left" w:pos="6220"/>
                <w:tab w:val="left" w:pos="8716"/>
              </w:tabs>
              <w:spacing w:after="0" w:line="240" w:lineRule="auto"/>
              <w:ind w:left="33" w:right="62"/>
              <w:rPr>
                <w:rFonts w:ascii="Times New Roman" w:hAnsi="Times New Roman"/>
                <w:sz w:val="24"/>
                <w:szCs w:val="24"/>
              </w:rPr>
            </w:pPr>
            <w:r w:rsidRPr="007A4413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населения Белозерского района по вопросам профилактики злоупотребления </w:t>
            </w:r>
            <w:proofErr w:type="spellStart"/>
            <w:r w:rsidRPr="007A441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7A4413">
              <w:rPr>
                <w:rFonts w:ascii="Times New Roman" w:hAnsi="Times New Roman"/>
                <w:sz w:val="24"/>
                <w:szCs w:val="24"/>
              </w:rPr>
              <w:t xml:space="preserve"> веществ, формирование негативного отношения к немедицинскому потреблению наркотиков</w:t>
            </w:r>
          </w:p>
        </w:tc>
      </w:tr>
    </w:tbl>
    <w:p w:rsidR="00C85EE6" w:rsidRDefault="00C85EE6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Default="00EC656C">
      <w:pPr>
        <w:rPr>
          <w:rFonts w:ascii="Times New Roman" w:hAnsi="Times New Roman"/>
          <w:sz w:val="24"/>
          <w:szCs w:val="24"/>
        </w:rPr>
      </w:pPr>
    </w:p>
    <w:p w:rsidR="00EC656C" w:rsidRPr="007A4413" w:rsidRDefault="00EC656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C656C" w:rsidRPr="007A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13"/>
    <w:rsid w:val="007A4413"/>
    <w:rsid w:val="00C85EE6"/>
    <w:rsid w:val="00E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44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11pt">
    <w:name w:val="Заголовок №4 + 11 pt"/>
    <w:basedOn w:val="a0"/>
    <w:uiPriority w:val="99"/>
    <w:rsid w:val="007A4413"/>
    <w:rPr>
      <w:rFonts w:ascii="Arial" w:hAnsi="Arial" w:cs="Arial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44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11pt">
    <w:name w:val="Заголовок №4 + 11 pt"/>
    <w:basedOn w:val="a0"/>
    <w:uiPriority w:val="99"/>
    <w:rsid w:val="007A4413"/>
    <w:rPr>
      <w:rFonts w:ascii="Arial" w:hAnsi="Arial" w:cs="Arial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2016-03-29T16:17:00Z</dcterms:created>
  <dcterms:modified xsi:type="dcterms:W3CDTF">2016-03-29T16:29:00Z</dcterms:modified>
</cp:coreProperties>
</file>