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PT Astra Sans"/>
          <w:b/>
          <w:bCs/>
          <w:sz w:val="36"/>
          <w:szCs w:val="36"/>
          <w:lang w:eastAsia="ru-RU"/>
        </w:rPr>
      </w:pPr>
      <w:r w:rsidRPr="00D80530">
        <w:rPr>
          <w:rFonts w:ascii="PT Astra Sans" w:eastAsia="Times New Roman" w:hAnsi="PT Astra Sans" w:cs="PT Astra Sans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PT Astra Sans"/>
          <w:b/>
          <w:bCs/>
          <w:sz w:val="36"/>
          <w:szCs w:val="36"/>
          <w:lang w:eastAsia="ru-RU"/>
        </w:rPr>
      </w:pPr>
      <w:r w:rsidRPr="00D80530">
        <w:rPr>
          <w:rFonts w:ascii="PT Astra Sans" w:eastAsia="Times New Roman" w:hAnsi="PT Astra Sans" w:cs="PT Astra Sans"/>
          <w:b/>
          <w:bCs/>
          <w:sz w:val="36"/>
          <w:szCs w:val="36"/>
          <w:lang w:eastAsia="ru-RU"/>
        </w:rPr>
        <w:t>Курганской области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4"/>
          <w:szCs w:val="24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4"/>
          <w:szCs w:val="24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jc w:val="center"/>
        <w:rPr>
          <w:rFonts w:ascii="PT Astra Sans" w:eastAsia="Times New Roman" w:hAnsi="PT Astra Sans" w:cs="PT Astra Sans"/>
          <w:b/>
          <w:bCs/>
          <w:sz w:val="52"/>
          <w:szCs w:val="52"/>
          <w:lang w:eastAsia="ru-RU"/>
        </w:rPr>
      </w:pPr>
      <w:r w:rsidRPr="00D80530">
        <w:rPr>
          <w:rFonts w:ascii="PT Astra Sans" w:eastAsia="Times New Roman" w:hAnsi="PT Astra Sans" w:cs="PT Astra Sans"/>
          <w:b/>
          <w:bCs/>
          <w:sz w:val="52"/>
          <w:szCs w:val="52"/>
          <w:lang w:eastAsia="ru-RU"/>
        </w:rPr>
        <w:t>ПОСТАНОВЛЕНИЕ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4"/>
          <w:szCs w:val="24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4"/>
          <w:szCs w:val="24"/>
          <w:lang w:eastAsia="ru-RU"/>
        </w:rPr>
      </w:pPr>
    </w:p>
    <w:p w:rsidR="00D80530" w:rsidRPr="00D80530" w:rsidRDefault="00DD3EF1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4"/>
          <w:szCs w:val="24"/>
          <w:lang w:eastAsia="ru-RU"/>
        </w:rPr>
      </w:pPr>
      <w:r>
        <w:rPr>
          <w:rFonts w:ascii="PT Astra Sans" w:eastAsia="Times New Roman" w:hAnsi="PT Astra Sans" w:cs="PT Astra Sans"/>
          <w:sz w:val="24"/>
          <w:szCs w:val="24"/>
          <w:lang w:eastAsia="ru-RU"/>
        </w:rPr>
        <w:t>от «</w:t>
      </w:r>
      <w:r w:rsidR="004E7A67">
        <w:rPr>
          <w:rFonts w:ascii="PT Astra Sans" w:eastAsia="Times New Roman" w:hAnsi="PT Astra Sans" w:cs="PT Astra Sans"/>
          <w:sz w:val="24"/>
          <w:szCs w:val="24"/>
          <w:lang w:eastAsia="ru-RU"/>
        </w:rPr>
        <w:t>23</w:t>
      </w:r>
      <w:r>
        <w:rPr>
          <w:rFonts w:ascii="PT Astra Sans" w:eastAsia="Times New Roman" w:hAnsi="PT Astra Sans" w:cs="PT Astra Sans"/>
          <w:sz w:val="24"/>
          <w:szCs w:val="24"/>
          <w:lang w:eastAsia="ru-RU"/>
        </w:rPr>
        <w:t>» марта 2021</w:t>
      </w:r>
      <w:r w:rsidR="00D80530" w:rsidRPr="00D80530">
        <w:rPr>
          <w:rFonts w:ascii="PT Astra Sans" w:eastAsia="Times New Roman" w:hAnsi="PT Astra Sans" w:cs="PT Astra Sans"/>
          <w:sz w:val="24"/>
          <w:szCs w:val="24"/>
          <w:lang w:eastAsia="ru-RU"/>
        </w:rPr>
        <w:t xml:space="preserve"> года  № </w:t>
      </w:r>
      <w:r w:rsidR="004E7A67">
        <w:rPr>
          <w:rFonts w:ascii="PT Astra Sans" w:eastAsia="Times New Roman" w:hAnsi="PT Astra Sans" w:cs="PT Astra Sans"/>
          <w:sz w:val="24"/>
          <w:szCs w:val="24"/>
          <w:lang w:eastAsia="ru-RU"/>
        </w:rPr>
        <w:t>206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0"/>
          <w:szCs w:val="20"/>
          <w:lang w:eastAsia="ru-RU"/>
        </w:rPr>
      </w:pPr>
      <w:r w:rsidRPr="00D80530">
        <w:rPr>
          <w:rFonts w:ascii="PT Astra Sans" w:eastAsia="Times New Roman" w:hAnsi="PT Astra Sans" w:cs="PT Astra Sans"/>
          <w:sz w:val="20"/>
          <w:szCs w:val="20"/>
          <w:lang w:eastAsia="ru-RU"/>
        </w:rPr>
        <w:t xml:space="preserve">                  с. Белозерское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4"/>
          <w:szCs w:val="24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О зак</w:t>
      </w:r>
      <w:r w:rsidR="008C5F18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реплении муниципальных казенных  </w:t>
      </w:r>
      <w:r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образовательных организаций, реализующих образовательные программы дошкольного образования, </w:t>
      </w:r>
      <w:r w:rsidR="008C5F18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присмотр и уход за детьми</w:t>
      </w:r>
      <w:r w:rsidR="00DD3EF1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,</w:t>
      </w:r>
      <w:r w:rsidR="008C5F18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 </w:t>
      </w:r>
      <w:r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за конкретными территориями Белозерского района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В соответствии с подпунктом 6 пункта 1 статьи 9 Федерального закона от 29 декабря 2012 года  № 273-ФЗ «Об образовании в Российской Федерации»,</w:t>
      </w:r>
      <w:r w:rsidRPr="00D80530">
        <w:rPr>
          <w:rFonts w:ascii="PT Astra Sans" w:eastAsia="Times New Roman" w:hAnsi="PT Astra Sans" w:cs="PT Astra Sans"/>
          <w:color w:val="000000"/>
          <w:sz w:val="28"/>
          <w:szCs w:val="28"/>
          <w:shd w:val="clear" w:color="auto" w:fill="FFFFFF"/>
          <w:lang w:eastAsia="ru-RU"/>
        </w:rPr>
        <w:t> в целях соблюдения конституционных прав граждан на получение общедоступного и бесплатного дошкольного и общего образования, обеспечения территориальной доступности муниципальных образовательных организаций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Администрация Белозерского района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ПОСТАНОВЛЯЕТ:</w:t>
      </w:r>
    </w:p>
    <w:p w:rsidR="00D80530" w:rsidRPr="00D80530" w:rsidRDefault="00D80530" w:rsidP="00D8053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 муниципальными казенными образовательными организациями, реализующими образовательные программы дошкольного образования,</w:t>
      </w:r>
      <w:r w:rsidR="008C5F18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присмотр и уход за детьми,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территории Белозерского района согласно приложению к настоящему постановлению.</w:t>
      </w:r>
    </w:p>
    <w:p w:rsidR="00D80530" w:rsidRPr="00D80530" w:rsidRDefault="00D80530" w:rsidP="00D8053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Признать утратившим силу постановление Администрации Б</w:t>
      </w:r>
      <w:r w:rsidR="008C5F18">
        <w:rPr>
          <w:rFonts w:ascii="PT Astra Sans" w:eastAsia="Times New Roman" w:hAnsi="PT Astra Sans" w:cs="PT Astra Sans"/>
          <w:sz w:val="28"/>
          <w:szCs w:val="28"/>
          <w:lang w:eastAsia="ru-RU"/>
        </w:rPr>
        <w:t>елозерского района от 27 марта</w:t>
      </w:r>
      <w:r w:rsidR="00B5580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20</w:t>
      </w:r>
      <w:r w:rsidR="008C5F18">
        <w:rPr>
          <w:rFonts w:ascii="PT Astra Sans" w:eastAsia="Times New Roman" w:hAnsi="PT Astra Sans" w:cs="PT Astra Sans"/>
          <w:sz w:val="28"/>
          <w:szCs w:val="28"/>
          <w:lang w:eastAsia="ru-RU"/>
        </w:rPr>
        <w:t>20 года № 209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«О закреплении муниципальных казенных образовательных организаций</w:t>
      </w:r>
      <w:r w:rsidR="008C5F18">
        <w:rPr>
          <w:rFonts w:ascii="PT Astra Sans" w:eastAsia="Times New Roman" w:hAnsi="PT Astra Sans" w:cs="PT Astra Sans"/>
          <w:sz w:val="28"/>
          <w:szCs w:val="28"/>
          <w:lang w:eastAsia="ru-RU"/>
        </w:rPr>
        <w:t>, реализующих образовательные программы дошкольного образования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за конкретными территориями Белозерского района».</w:t>
      </w:r>
    </w:p>
    <w:p w:rsidR="00D80530" w:rsidRPr="00D80530" w:rsidRDefault="00D80530" w:rsidP="00D8053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Опубликовать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D80530" w:rsidRDefault="00D80530" w:rsidP="00D8053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proofErr w:type="gram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Контроль за</w:t>
      </w:r>
      <w:proofErr w:type="gram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выполнением настоящего постановления возложить на        </w:t>
      </w:r>
      <w:r w:rsidR="00C11B0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первого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заместителя Главы Белозерского района, начальника управления социальной политики.</w:t>
      </w:r>
    </w:p>
    <w:p w:rsidR="00E06A83" w:rsidRPr="00D80530" w:rsidRDefault="00E06A83" w:rsidP="00E06A8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</w:p>
    <w:p w:rsidR="00C11B04" w:rsidRDefault="00C11B04" w:rsidP="00D80530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E06A83" w:rsidTr="00E06A83">
        <w:tc>
          <w:tcPr>
            <w:tcW w:w="4810" w:type="dxa"/>
          </w:tcPr>
          <w:p w:rsidR="00E06A83" w:rsidRDefault="00E06A83" w:rsidP="00D80530">
            <w:pPr>
              <w:autoSpaceDE w:val="0"/>
              <w:autoSpaceDN w:val="0"/>
              <w:adjustRightInd w:val="0"/>
              <w:jc w:val="both"/>
              <w:rPr>
                <w:rFonts w:ascii="PT Astra Sans" w:eastAsia="Times New Roman" w:hAnsi="PT Astra Sans" w:cs="PT Astra Sans"/>
                <w:sz w:val="28"/>
                <w:szCs w:val="28"/>
                <w:lang w:eastAsia="ru-RU"/>
              </w:rPr>
            </w:pPr>
            <w:r w:rsidRPr="00D80530">
              <w:rPr>
                <w:rFonts w:ascii="PT Astra Sans" w:eastAsia="Times New Roman" w:hAnsi="PT Astra Sans" w:cs="PT Astra Sans"/>
                <w:sz w:val="28"/>
                <w:szCs w:val="28"/>
                <w:lang w:eastAsia="ru-RU"/>
              </w:rPr>
              <w:t>Глава Белозерского района</w:t>
            </w:r>
          </w:p>
        </w:tc>
        <w:tc>
          <w:tcPr>
            <w:tcW w:w="4811" w:type="dxa"/>
          </w:tcPr>
          <w:p w:rsidR="00E06A83" w:rsidRDefault="00E06A83" w:rsidP="00E06A83">
            <w:pPr>
              <w:autoSpaceDE w:val="0"/>
              <w:autoSpaceDN w:val="0"/>
              <w:adjustRightInd w:val="0"/>
              <w:jc w:val="right"/>
              <w:rPr>
                <w:rFonts w:ascii="PT Astra Sans" w:eastAsia="Times New Roman" w:hAnsi="PT Astra Sans" w:cs="PT Astra Sans"/>
                <w:sz w:val="28"/>
                <w:szCs w:val="28"/>
                <w:lang w:eastAsia="ru-RU"/>
              </w:rPr>
            </w:pPr>
            <w:r>
              <w:rPr>
                <w:rFonts w:ascii="PT Astra Sans" w:eastAsia="Times New Roman" w:hAnsi="PT Astra Sans" w:cs="PT Astra Sans"/>
                <w:sz w:val="28"/>
                <w:szCs w:val="28"/>
                <w:lang w:eastAsia="ru-RU"/>
              </w:rPr>
              <w:t>А.В. Завьялов</w:t>
            </w:r>
          </w:p>
        </w:tc>
      </w:tr>
    </w:tbl>
    <w:p w:rsidR="00D80530" w:rsidRPr="00D80530" w:rsidRDefault="00D80530" w:rsidP="00E06A83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PT Astra Sans"/>
          <w:sz w:val="24"/>
          <w:szCs w:val="24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                   </w:t>
      </w:r>
      <w:r w:rsidR="008C5F18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                    </w:t>
      </w:r>
      <w:r w:rsidR="00C11B0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                    </w:t>
      </w:r>
    </w:p>
    <w:p w:rsidR="00FE0634" w:rsidRPr="00B55804" w:rsidRDefault="00D80530" w:rsidP="008C5F18">
      <w:pPr>
        <w:autoSpaceDE w:val="0"/>
        <w:autoSpaceDN w:val="0"/>
        <w:adjustRightInd w:val="0"/>
        <w:spacing w:after="0" w:line="240" w:lineRule="auto"/>
        <w:ind w:left="5245"/>
        <w:rPr>
          <w:rFonts w:ascii="PT Astra Sans" w:eastAsia="Times New Roman" w:hAnsi="PT Astra Sans" w:cs="PT Astra Sans"/>
          <w:sz w:val="20"/>
          <w:szCs w:val="20"/>
          <w:lang w:eastAsia="ru-RU"/>
        </w:rPr>
      </w:pPr>
      <w:r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lastRenderedPageBreak/>
        <w:t>Приложение</w:t>
      </w:r>
    </w:p>
    <w:p w:rsidR="00C11B04" w:rsidRPr="00B55804" w:rsidRDefault="00D80530" w:rsidP="008C5F18">
      <w:pPr>
        <w:autoSpaceDE w:val="0"/>
        <w:autoSpaceDN w:val="0"/>
        <w:adjustRightInd w:val="0"/>
        <w:spacing w:after="0" w:line="240" w:lineRule="auto"/>
        <w:ind w:left="5245"/>
        <w:rPr>
          <w:rFonts w:ascii="PT Astra Sans" w:eastAsia="Times New Roman" w:hAnsi="PT Astra Sans" w:cs="PT Astra Sans"/>
          <w:sz w:val="20"/>
          <w:szCs w:val="20"/>
          <w:lang w:eastAsia="ru-RU"/>
        </w:rPr>
      </w:pPr>
      <w:r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 xml:space="preserve"> к постановлению Администрации Белозерског</w:t>
      </w:r>
      <w:r w:rsidR="008C5F18"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 xml:space="preserve">о района  </w:t>
      </w:r>
    </w:p>
    <w:p w:rsidR="00D80530" w:rsidRPr="00B55804" w:rsidRDefault="008C5F18" w:rsidP="008C5F18">
      <w:pPr>
        <w:autoSpaceDE w:val="0"/>
        <w:autoSpaceDN w:val="0"/>
        <w:adjustRightInd w:val="0"/>
        <w:spacing w:after="0" w:line="240" w:lineRule="auto"/>
        <w:ind w:left="5245"/>
        <w:rPr>
          <w:rFonts w:ascii="PT Astra Sans" w:eastAsia="Times New Roman" w:hAnsi="PT Astra Sans" w:cs="PT Astra Sans"/>
          <w:sz w:val="20"/>
          <w:szCs w:val="20"/>
          <w:lang w:eastAsia="ru-RU"/>
        </w:rPr>
      </w:pPr>
      <w:r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>от  «</w:t>
      </w:r>
      <w:r w:rsidR="004E7A67">
        <w:rPr>
          <w:rFonts w:ascii="PT Astra Sans" w:eastAsia="Times New Roman" w:hAnsi="PT Astra Sans" w:cs="PT Astra Sans"/>
          <w:sz w:val="20"/>
          <w:szCs w:val="20"/>
          <w:lang w:eastAsia="ru-RU"/>
        </w:rPr>
        <w:t>23</w:t>
      </w:r>
      <w:r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>»  марта  2021</w:t>
      </w:r>
      <w:r w:rsidR="00D80530"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 xml:space="preserve"> года № </w:t>
      </w:r>
      <w:r w:rsidR="004E7A67">
        <w:rPr>
          <w:rFonts w:ascii="PT Astra Sans" w:eastAsia="Times New Roman" w:hAnsi="PT Astra Sans" w:cs="PT Astra Sans"/>
          <w:sz w:val="20"/>
          <w:szCs w:val="20"/>
          <w:lang w:eastAsia="ru-RU"/>
        </w:rPr>
        <w:t>206</w:t>
      </w:r>
      <w:bookmarkStart w:id="0" w:name="_GoBack"/>
      <w:bookmarkEnd w:id="0"/>
    </w:p>
    <w:p w:rsidR="00D80530" w:rsidRPr="00B55804" w:rsidRDefault="00D80530" w:rsidP="00FE0634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PT Astra Sans" w:eastAsia="Times New Roman" w:hAnsi="PT Astra Sans" w:cs="PT Astra Sans"/>
          <w:sz w:val="20"/>
          <w:szCs w:val="20"/>
          <w:lang w:eastAsia="ru-RU"/>
        </w:rPr>
      </w:pPr>
      <w:r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>«О закреплении муниципальных казенных образовательных организаций, реализующих образовательные программы дошкольного образования,</w:t>
      </w:r>
      <w:r w:rsidR="008C5F18"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 xml:space="preserve"> присмотр и уход за детьми,</w:t>
      </w:r>
      <w:r w:rsidRPr="00B55804">
        <w:rPr>
          <w:rFonts w:ascii="PT Astra Sans" w:eastAsia="Times New Roman" w:hAnsi="PT Astra Sans" w:cs="PT Astra Sans"/>
          <w:sz w:val="20"/>
          <w:szCs w:val="20"/>
          <w:lang w:eastAsia="ru-RU"/>
        </w:rPr>
        <w:t xml:space="preserve"> за  конкретными территориями Белозерского района»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PT Astra Sans" w:eastAsia="Times New Roman" w:hAnsi="PT Astra Sans" w:cs="PT Astra Sans"/>
          <w:sz w:val="24"/>
          <w:szCs w:val="24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ans" w:eastAsia="Times New Roman" w:hAnsi="PT Astra Sans" w:cs="PT Astra Sans"/>
          <w:sz w:val="24"/>
          <w:szCs w:val="24"/>
          <w:lang w:eastAsia="ru-RU"/>
        </w:rPr>
      </w:pPr>
    </w:p>
    <w:p w:rsidR="00C11B04" w:rsidRDefault="00C11B04" w:rsidP="00D80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ПЕРЕЧЕНЬ</w:t>
      </w:r>
    </w:p>
    <w:p w:rsidR="00C11B04" w:rsidRDefault="00C11B04" w:rsidP="00D80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территорий Белозерского района, за которыми з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акреплен</w:t>
      </w: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ы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  муниципальны</w:t>
      </w: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е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 казенны</w:t>
      </w: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е 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образовательны</w:t>
      </w: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е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 организаци</w:t>
      </w: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и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, реализующи</w:t>
      </w: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е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 образовательные программы дошкольного образования,</w:t>
      </w: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 </w:t>
      </w:r>
    </w:p>
    <w:p w:rsidR="00D80530" w:rsidRPr="00D80530" w:rsidRDefault="00C11B04" w:rsidP="00D805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>присмотр и уход за детьми</w:t>
      </w:r>
      <w:r w:rsidR="00D80530" w:rsidRPr="00D80530"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  <w:t xml:space="preserve">  </w:t>
      </w: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jc w:val="both"/>
        <w:rPr>
          <w:rFonts w:ascii="PT Astra Sans" w:eastAsia="Times New Roman" w:hAnsi="PT Astra Sans" w:cs="PT Astra Sans"/>
          <w:b/>
          <w:bCs/>
          <w:sz w:val="28"/>
          <w:szCs w:val="28"/>
          <w:lang w:eastAsia="ru-RU"/>
        </w:rPr>
      </w:pPr>
    </w:p>
    <w:p w:rsidR="00D80530" w:rsidRPr="00D80530" w:rsidRDefault="00D80530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Муниципальное казенное дошкольное образовательное учреждение «Белозерский детский сад №1» 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закрепить за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улиц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>ами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с. Белозерского:  </w:t>
      </w:r>
      <w:proofErr w:type="gram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Калинина, Ленина (от ул. Карла  Маркса до конца), Зелёная,  Комсомольская, Курганская, Гоголя, Гладкова, Суворова, Степная, Попова,  Кирова (от улицы Кар</w:t>
      </w:r>
      <w:r w:rsidR="00B5580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ла Маркса до конца), Советская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(от улицы  Карла Маркса до конца), Карла Маркса, Рогачёва, Новая,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Мойзыха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, Строителей, Транспортная, Проектная, Западная, Зауральская, Кооперативная, Полевая, Кирпичная, Садовая и  переулк</w:t>
      </w:r>
      <w:r w:rsidR="00CE0985">
        <w:rPr>
          <w:rFonts w:ascii="PT Astra Sans" w:eastAsia="Times New Roman" w:hAnsi="PT Astra Sans" w:cs="PT Astra Sans"/>
          <w:sz w:val="28"/>
          <w:szCs w:val="28"/>
          <w:lang w:eastAsia="ru-RU"/>
        </w:rPr>
        <w:t>ами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:</w:t>
      </w:r>
      <w:proofErr w:type="gram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Первомайский, Светлый.</w:t>
      </w:r>
    </w:p>
    <w:p w:rsidR="00D80530" w:rsidRPr="00D80530" w:rsidRDefault="00D80530" w:rsidP="00554C2E">
      <w:pPr>
        <w:numPr>
          <w:ilvl w:val="0"/>
          <w:numId w:val="2"/>
        </w:numPr>
        <w:tabs>
          <w:tab w:val="left" w:pos="0"/>
          <w:tab w:val="left" w:pos="1080"/>
          <w:tab w:val="left" w:pos="1260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Корюкинский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филиал Муниципального казенного дошкольного образовательного учреждения «Белозерский детский сад №1» </w:t>
      </w:r>
      <w:r w:rsidR="00554C2E" w:rsidRPr="00554C2E"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территори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деревни 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Корюкина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.  </w:t>
      </w:r>
    </w:p>
    <w:p w:rsidR="00D80530" w:rsidRDefault="00D80530" w:rsidP="00554C2E">
      <w:pPr>
        <w:numPr>
          <w:ilvl w:val="0"/>
          <w:numId w:val="2"/>
        </w:numPr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Нижнетобольный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филиал Муниципального казенного дошкольного образовательного учреждения «Белозерский детский сад №1» </w:t>
      </w:r>
      <w:r w:rsidR="00554C2E" w:rsidRPr="00554C2E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закрепить за территориями 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>села Нижнетобольное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Ачикуль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Раздолье, Большой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Заполой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Гагарье, Малый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Заполой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, Охотино.</w:t>
      </w:r>
    </w:p>
    <w:p w:rsidR="00A74518" w:rsidRPr="00D80530" w:rsidRDefault="00A74518" w:rsidP="00554C2E">
      <w:pPr>
        <w:numPr>
          <w:ilvl w:val="0"/>
          <w:numId w:val="2"/>
        </w:numPr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proofErr w:type="spellStart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Скопинский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филиал Муниципального казенного дошкольного образовательного учреждения «Белозерский детский сад №1»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</w:t>
      </w:r>
      <w:r w:rsidR="00554C2E" w:rsidRPr="00554C2E"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 территори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="00554C2E" w:rsidRPr="00554C2E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села Скопино.</w:t>
      </w:r>
    </w:p>
    <w:p w:rsidR="00A74518" w:rsidRPr="00D80530" w:rsidRDefault="00A74518" w:rsidP="00554C2E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Муниципальное казенное дошкольное образовательное учреждение  «Белозерский детский сад №2» </w:t>
      </w:r>
      <w:r w:rsidR="00554C2E" w:rsidRPr="00554C2E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закрепить за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улиц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>ами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с. Белозерского: </w:t>
      </w:r>
      <w:proofErr w:type="gram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Цветкова, </w:t>
      </w:r>
      <w:r w:rsidR="00B5580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Ленина (от начала до ул. Карла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Маркса), Солнечная, Советская (от начала до ул. Карла Маркса), Кирова (от начала до ул. Карла Маркса), Нестерова, Октябрьская, Пичугина, Пушкина,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Тобольная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Мира, Коммунаров, 60 лет Советской власти,  Береговая, Победы, Первомайская, Рабочая, Коммунальная, Северянка, Заозёрная, Коминтерна, Красная Горка, Совхозная, Энтузиастов, Пионерская,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Налимова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, Юбилейная; переулк</w:t>
      </w:r>
      <w:r w:rsidR="00FE0634">
        <w:rPr>
          <w:rFonts w:ascii="PT Astra Sans" w:eastAsia="Times New Roman" w:hAnsi="PT Astra Sans" w:cs="PT Astra Sans"/>
          <w:sz w:val="28"/>
          <w:szCs w:val="28"/>
          <w:lang w:eastAsia="ru-RU"/>
        </w:rPr>
        <w:t>ами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lastRenderedPageBreak/>
        <w:t>Восточный, Северный, Безымянный;</w:t>
      </w:r>
      <w:proofErr w:type="gram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 территориями села </w:t>
      </w:r>
      <w:proofErr w:type="spellStart"/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>Баярак</w:t>
      </w:r>
      <w:proofErr w:type="spellEnd"/>
      <w:r w:rsidR="00E06A83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и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деревн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ей </w:t>
      </w:r>
      <w:proofErr w:type="gram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Куликово</w:t>
      </w:r>
      <w:proofErr w:type="gram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, Доможир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ова, Орловка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.</w:t>
      </w:r>
    </w:p>
    <w:p w:rsidR="00A74518" w:rsidRDefault="002D2972" w:rsidP="002D2972">
      <w:pPr>
        <w:numPr>
          <w:ilvl w:val="0"/>
          <w:numId w:val="2"/>
        </w:numPr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«</w:t>
      </w:r>
      <w:proofErr w:type="spellStart"/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>Боровской</w:t>
      </w:r>
      <w:proofErr w:type="spellEnd"/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» </w:t>
      </w:r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>-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>филиал Муниципального казенного общеобразовательного учреждения «Боровская средняя общеобразовательная школа»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Pr="002D2972"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 территориями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деревень</w:t>
      </w:r>
      <w:r w:rsidR="00A74518" w:rsidRPr="00A74518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Чистолебяжье</w:t>
      </w:r>
      <w:proofErr w:type="spellEnd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Песьяное</w:t>
      </w:r>
      <w:proofErr w:type="spellEnd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Петуховское</w:t>
      </w:r>
      <w:proofErr w:type="spellEnd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Мокино</w:t>
      </w:r>
      <w:proofErr w:type="spellEnd"/>
      <w:r w:rsidR="00A74518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;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сел </w:t>
      </w:r>
      <w:proofErr w:type="spellStart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Боровское</w:t>
      </w:r>
      <w:proofErr w:type="spellEnd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>Новодостоваловское</w:t>
      </w:r>
      <w:proofErr w:type="spellEnd"/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gramStart"/>
      <w:r w:rsidR="00A74518">
        <w:rPr>
          <w:rFonts w:ascii="PT Astra Sans" w:eastAsia="Times New Roman" w:hAnsi="PT Astra Sans" w:cs="PT Astra Sans"/>
          <w:sz w:val="28"/>
          <w:szCs w:val="28"/>
          <w:lang w:eastAsia="ru-RU"/>
        </w:rPr>
        <w:t>Романовское</w:t>
      </w:r>
      <w:proofErr w:type="gram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поселк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а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сельского типа Березовский.</w:t>
      </w:r>
    </w:p>
    <w:p w:rsidR="00600926" w:rsidRDefault="002D2972" w:rsidP="002D2972">
      <w:pPr>
        <w:numPr>
          <w:ilvl w:val="0"/>
          <w:numId w:val="2"/>
        </w:numPr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«</w:t>
      </w:r>
      <w:proofErr w:type="spellStart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Боровлянский</w:t>
      </w:r>
      <w:proofErr w:type="spellEnd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»</w:t>
      </w:r>
      <w:r w:rsidR="008F7D6A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- филиал Муниципального казенного общеобразовательного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учреждения «</w:t>
      </w:r>
      <w:proofErr w:type="spellStart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Стеклозаводская</w:t>
      </w:r>
      <w:proofErr w:type="spellEnd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Pr="002D2972"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 территориями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села Боровлянка, деревн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и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>Тебенякское</w:t>
      </w:r>
      <w:proofErr w:type="spellEnd"/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>, поселк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а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сельского типа Стеклозавод.</w:t>
      </w:r>
    </w:p>
    <w:p w:rsidR="00600926" w:rsidRDefault="002D2972" w:rsidP="002D2972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«</w:t>
      </w:r>
      <w:proofErr w:type="spellStart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Памятинский</w:t>
      </w:r>
      <w:proofErr w:type="spellEnd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»</w:t>
      </w:r>
      <w:r w:rsidR="00554C2E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- филиал Муниципального казенного общеобразовательного учреждения «Памятинская средняя общеобразовательная школа»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Pr="002D2972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закрепить за территориями </w:t>
      </w:r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сел </w:t>
      </w:r>
      <w:proofErr w:type="gramStart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Памятное</w:t>
      </w:r>
      <w:proofErr w:type="gramEnd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Речкино</w:t>
      </w:r>
      <w:proofErr w:type="spellEnd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 </w:t>
      </w:r>
      <w:proofErr w:type="spellStart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Усть-Суерское</w:t>
      </w:r>
      <w:proofErr w:type="spellEnd"/>
      <w:r w:rsidR="00600926">
        <w:rPr>
          <w:rFonts w:ascii="PT Astra Sans" w:eastAsia="Times New Roman" w:hAnsi="PT Astra Sans" w:cs="PT Astra Sans"/>
          <w:sz w:val="28"/>
          <w:szCs w:val="28"/>
          <w:lang w:eastAsia="ru-RU"/>
        </w:rPr>
        <w:t>; деревн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="00600926" w:rsidRPr="00600926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600926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Екимово</w:t>
      </w:r>
      <w:proofErr w:type="spellEnd"/>
      <w:r w:rsidR="00600926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600926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Волосникова</w:t>
      </w:r>
      <w:proofErr w:type="spellEnd"/>
      <w:r w:rsidR="00600926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600926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Стенниково</w:t>
      </w:r>
      <w:proofErr w:type="spellEnd"/>
      <w:r w:rsidR="00600926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.</w:t>
      </w:r>
    </w:p>
    <w:p w:rsidR="006E02EB" w:rsidRPr="00D80530" w:rsidRDefault="006E02EB" w:rsidP="006E02EB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Першинский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 – филиал Муниципального казенного общеобразовательного</w:t>
      </w:r>
      <w:r w:rsidR="00FE063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учреждения «Першинская средняя общеобразовательная школа»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2D2972"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территория</w:t>
      </w:r>
      <w:r w:rsidR="002D2972">
        <w:rPr>
          <w:rFonts w:ascii="PT Astra Sans" w:eastAsia="Times New Roman" w:hAnsi="PT Astra Sans" w:cs="PT Astra Sans"/>
          <w:sz w:val="28"/>
          <w:szCs w:val="28"/>
          <w:lang w:eastAsia="ru-RU"/>
        </w:rPr>
        <w:t>ми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ела </w:t>
      </w:r>
      <w:proofErr w:type="spellStart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Першино</w:t>
      </w:r>
      <w:proofErr w:type="spellEnd"/>
      <w:r w:rsidR="002D2972">
        <w:rPr>
          <w:rFonts w:ascii="PT Astra Sans" w:eastAsia="Times New Roman" w:hAnsi="PT Astra Sans" w:cs="PT Astra Sans"/>
          <w:sz w:val="28"/>
          <w:szCs w:val="28"/>
          <w:lang w:eastAsia="ru-RU"/>
        </w:rPr>
        <w:t>,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</w:t>
      </w:r>
      <w:r w:rsidR="002D2972"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Бунтина</w:t>
      </w:r>
      <w:proofErr w:type="spellEnd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Тебеняк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>, Тюменцева, Березово.</w:t>
      </w:r>
    </w:p>
    <w:p w:rsidR="00D80530" w:rsidRDefault="002D2972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«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Редькинский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»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- 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филиал Муниципального казенн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ого общеобразовательного учреждения «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Рычковская</w:t>
      </w:r>
      <w:proofErr w:type="spell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основная общеобразовательная школа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»  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 территориями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деревень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Редькино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Русаково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.</w:t>
      </w:r>
    </w:p>
    <w:p w:rsidR="006E02EB" w:rsidRPr="00D80530" w:rsidRDefault="002D2972" w:rsidP="006E02EB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Муниципальное казенное  общеобразовательное учреждение «</w:t>
      </w:r>
      <w:proofErr w:type="spellStart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Рычковская</w:t>
      </w:r>
      <w:proofErr w:type="spellEnd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основная общеобразовательная школа» 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</w:t>
      </w:r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территори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>ями</w:t>
      </w:r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  Рычково, Скаты, Кошкино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Говорухино</w:t>
      </w:r>
      <w:proofErr w:type="spellEnd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Иковское</w:t>
      </w:r>
      <w:proofErr w:type="spellEnd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Ордина</w:t>
      </w:r>
      <w:proofErr w:type="spellEnd"/>
      <w:r w:rsidR="006E02EB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.</w:t>
      </w:r>
    </w:p>
    <w:p w:rsidR="00D80530" w:rsidRPr="00D80530" w:rsidRDefault="002D2972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«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Светлодольский</w:t>
      </w:r>
      <w:proofErr w:type="spell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»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– филиал 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Муниципального казенног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о общеобразовательного 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учрежде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ния «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Светлодольская</w:t>
      </w:r>
      <w:proofErr w:type="spell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средняя общеобразовательная школа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» 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закрепить за 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территори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ями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 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Светлый Дол, </w:t>
      </w:r>
      <w:proofErr w:type="gram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Полевое</w:t>
      </w:r>
      <w:proofErr w:type="gram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Пьянково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Кирово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Мендерское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r w:rsidR="00A74518" w:rsidRPr="00A74518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Рассохина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Юрково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Малый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Камаган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.   </w:t>
      </w:r>
    </w:p>
    <w:p w:rsidR="00D80530" w:rsidRPr="00D80530" w:rsidRDefault="002D2972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Мясниковск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proofErr w:type="spellEnd"/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>основую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общеобразовательн</w:t>
      </w:r>
      <w:r w:rsidR="00FE0634"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школ</w:t>
      </w:r>
      <w:r w:rsidR="00FE0634">
        <w:rPr>
          <w:rFonts w:ascii="PT Astra Sans" w:eastAsia="Times New Roman" w:hAnsi="PT Astra Sans" w:cs="PT Astra Sans"/>
          <w:sz w:val="28"/>
          <w:szCs w:val="28"/>
          <w:lang w:eastAsia="ru-RU"/>
        </w:rPr>
        <w:t>у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- филиал Муниципального казенного общеобразовательного  учреждения «Памятинская средняя общеобразовательная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школа» 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закрепить за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территория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ми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а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Вагино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Мясникова</w:t>
      </w:r>
      <w:proofErr w:type="spell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, Подборная.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</w:t>
      </w:r>
    </w:p>
    <w:p w:rsidR="00D80530" w:rsidRPr="00D80530" w:rsidRDefault="002D2972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Зарослинск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proofErr w:type="spellEnd"/>
      <w:r w:rsidR="00B5580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основн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общеобразовательн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школ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>у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- филиал Муниципального казенного общеобразовательного учреждения «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Светлодольская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средняя общеобразовательная школа» 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закрепить за 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территори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>ями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деревень Большое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Зарослое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Малое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Зарослое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, Козлова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>а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Большой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Камаган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.</w:t>
      </w:r>
    </w:p>
    <w:p w:rsidR="00D80530" w:rsidRDefault="00865EAC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lastRenderedPageBreak/>
        <w:t xml:space="preserve">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Зюзинск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основн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общеобразовательн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ую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школ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у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- филиал Муниципального казенного общеобразовательного учреждения «Боровская средняя общеобразовательная школа» 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закрепить за 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территори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ями сел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Зюзино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,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Бузан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Лихачи, </w:t>
      </w:r>
      <w:proofErr w:type="spellStart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Новозаборка</w:t>
      </w:r>
      <w:proofErr w:type="spellEnd"/>
      <w:r w:rsidR="00D80530"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.</w:t>
      </w:r>
    </w:p>
    <w:p w:rsidR="006E02EB" w:rsidRDefault="00B55804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Чимеевский</w:t>
      </w:r>
      <w:proofErr w:type="spell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- филиал Муниципального казенного общеобразовательного учреждения «</w:t>
      </w:r>
      <w:proofErr w:type="spell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Ягоднинская</w:t>
      </w:r>
      <w:proofErr w:type="spell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средняя общеобразовательная школа им.</w:t>
      </w:r>
      <w:r w:rsidR="00FE0634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Петрякова»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закрепить за 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>территория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>ми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села </w:t>
      </w:r>
      <w:proofErr w:type="spellStart"/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>Чимеево</w:t>
      </w:r>
      <w:proofErr w:type="spellEnd"/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и</w:t>
      </w:r>
      <w:r w:rsidR="00DD3EF1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>и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gramStart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Лебяжье</w:t>
      </w:r>
      <w:proofErr w:type="gramEnd"/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>.</w:t>
      </w:r>
    </w:p>
    <w:p w:rsidR="006E02EB" w:rsidRDefault="006E02EB" w:rsidP="00D80530">
      <w:pPr>
        <w:numPr>
          <w:ilvl w:val="0"/>
          <w:numId w:val="2"/>
        </w:num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Ягоднинский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детский сад –</w:t>
      </w:r>
      <w:r w:rsidR="00865EAC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филиал Муниципального казенного общеобразовательного учреждения «</w:t>
      </w:r>
      <w:proofErr w:type="spellStart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>Ягоднинская</w:t>
      </w:r>
      <w:proofErr w:type="spellEnd"/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средняя общеобразовательная школа им.</w:t>
      </w:r>
      <w:r w:rsidR="00CE0985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В.М. 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>Петрякова»</w:t>
      </w:r>
      <w:r w:rsidR="00CE0985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закрепить за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территори</w:t>
      </w:r>
      <w:r w:rsidR="00CE0985">
        <w:rPr>
          <w:rFonts w:ascii="PT Astra Sans" w:eastAsia="Times New Roman" w:hAnsi="PT Astra Sans" w:cs="PT Astra Sans"/>
          <w:sz w:val="28"/>
          <w:szCs w:val="28"/>
          <w:lang w:eastAsia="ru-RU"/>
        </w:rPr>
        <w:t>ей</w:t>
      </w:r>
      <w:r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деревни Ягодная.</w:t>
      </w:r>
    </w:p>
    <w:p w:rsidR="00E06A83" w:rsidRDefault="00E06A83" w:rsidP="00E06A83">
      <w:p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</w:p>
    <w:p w:rsidR="00E06A83" w:rsidRDefault="00E06A83" w:rsidP="00E06A83">
      <w:pPr>
        <w:tabs>
          <w:tab w:val="left" w:pos="1080"/>
          <w:tab w:val="left" w:pos="1260"/>
          <w:tab w:val="left" w:pos="181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ans" w:eastAsia="Times New Roman" w:hAnsi="PT Astra Sans" w:cs="PT Astra Sans"/>
          <w:sz w:val="28"/>
          <w:szCs w:val="28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8"/>
          <w:szCs w:val="28"/>
          <w:lang w:eastAsia="ru-RU"/>
        </w:rPr>
      </w:pPr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Управляющий делами, начальник            </w:t>
      </w:r>
      <w:r w:rsidR="006E02EB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                        </w:t>
      </w:r>
      <w:r w:rsidR="00E06A83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            </w:t>
      </w: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Н.П. </w:t>
      </w:r>
      <w:proofErr w:type="spellStart"/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>Лифинцев</w:t>
      </w:r>
      <w:proofErr w:type="spellEnd"/>
    </w:p>
    <w:p w:rsidR="00D80530" w:rsidRPr="00D80530" w:rsidRDefault="00D80530" w:rsidP="00D80530">
      <w:pPr>
        <w:autoSpaceDE w:val="0"/>
        <w:autoSpaceDN w:val="0"/>
        <w:adjustRightInd w:val="0"/>
        <w:spacing w:after="0" w:line="240" w:lineRule="auto"/>
        <w:rPr>
          <w:rFonts w:ascii="PT Astra Sans" w:eastAsia="Times New Roman" w:hAnsi="PT Astra Sans" w:cs="PT Astra Sans"/>
          <w:sz w:val="28"/>
          <w:szCs w:val="28"/>
          <w:lang w:eastAsia="ru-RU"/>
        </w:rPr>
      </w:pPr>
      <w:r w:rsidRPr="00D80530">
        <w:rPr>
          <w:rFonts w:ascii="PT Astra Sans" w:eastAsia="Times New Roman" w:hAnsi="PT Astra Sans" w:cs="PT Astra Sans"/>
          <w:sz w:val="28"/>
          <w:szCs w:val="28"/>
          <w:lang w:eastAsia="ru-RU"/>
        </w:rPr>
        <w:t xml:space="preserve">управления делами                                         </w:t>
      </w:r>
    </w:p>
    <w:p w:rsidR="00367FEC" w:rsidRDefault="00367FEC">
      <w:pPr>
        <w:rPr>
          <w:lang w:val="en-US"/>
        </w:rPr>
      </w:pPr>
    </w:p>
    <w:p w:rsidR="002079DF" w:rsidRDefault="002079DF">
      <w:pPr>
        <w:rPr>
          <w:lang w:val="en-US"/>
        </w:rPr>
      </w:pPr>
    </w:p>
    <w:p w:rsidR="008C5F18" w:rsidRPr="002079DF" w:rsidRDefault="008C5F18">
      <w:pPr>
        <w:rPr>
          <w:lang w:val="en-US"/>
        </w:rPr>
      </w:pPr>
    </w:p>
    <w:sectPr w:rsidR="008C5F18" w:rsidRPr="002079DF" w:rsidSect="00290392">
      <w:pgSz w:w="12240" w:h="15840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24392"/>
    <w:multiLevelType w:val="hybridMultilevel"/>
    <w:tmpl w:val="FFFFFFFF"/>
    <w:lvl w:ilvl="0" w:tplc="B412CAA2">
      <w:start w:val="1"/>
      <w:numFmt w:val="decimal"/>
      <w:lvlText w:val="%1."/>
      <w:lvlJc w:val="left"/>
      <w:pPr>
        <w:ind w:left="1729" w:hanging="1020"/>
      </w:p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0C7043"/>
    <w:multiLevelType w:val="hybridMultilevel"/>
    <w:tmpl w:val="FFFFFFFF"/>
    <w:lvl w:ilvl="0" w:tplc="18BC58E8">
      <w:start w:val="1"/>
      <w:numFmt w:val="decimal"/>
      <w:lvlText w:val="%1."/>
      <w:lvlJc w:val="left"/>
      <w:pPr>
        <w:ind w:left="2238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30"/>
    <w:rsid w:val="002079DF"/>
    <w:rsid w:val="00290392"/>
    <w:rsid w:val="002D2972"/>
    <w:rsid w:val="00367FEC"/>
    <w:rsid w:val="004E7A67"/>
    <w:rsid w:val="00554C2E"/>
    <w:rsid w:val="00555DB9"/>
    <w:rsid w:val="005A5F1E"/>
    <w:rsid w:val="00600926"/>
    <w:rsid w:val="006E02EB"/>
    <w:rsid w:val="007217C5"/>
    <w:rsid w:val="00865EAC"/>
    <w:rsid w:val="008C5F18"/>
    <w:rsid w:val="008F7D6A"/>
    <w:rsid w:val="00A74518"/>
    <w:rsid w:val="00B55804"/>
    <w:rsid w:val="00C11B04"/>
    <w:rsid w:val="00CE0985"/>
    <w:rsid w:val="00D622D1"/>
    <w:rsid w:val="00D80530"/>
    <w:rsid w:val="00DD3EF1"/>
    <w:rsid w:val="00E06A83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4EE4-B42C-4382-8F56-B2E7D8EE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 Anatol</dc:creator>
  <cp:lastModifiedBy>ARM-O</cp:lastModifiedBy>
  <cp:revision>5</cp:revision>
  <cp:lastPrinted>2021-03-19T03:32:00Z</cp:lastPrinted>
  <dcterms:created xsi:type="dcterms:W3CDTF">2021-03-19T04:04:00Z</dcterms:created>
  <dcterms:modified xsi:type="dcterms:W3CDTF">2021-03-29T05:47:00Z</dcterms:modified>
</cp:coreProperties>
</file>