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9" w:rsidRPr="00630A4B" w:rsidRDefault="00CA5C89" w:rsidP="002E6DAC">
      <w:pPr>
        <w:pStyle w:val="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CA5C89" w:rsidRPr="00630A4B" w:rsidRDefault="00CA5C89" w:rsidP="002E6DAC">
      <w:pPr>
        <w:pStyle w:val="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CA5C89" w:rsidRPr="00630A4B" w:rsidRDefault="00CA5C89" w:rsidP="002E6DAC">
      <w:pPr>
        <w:pStyle w:val="1"/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30A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A5C89" w:rsidRPr="002E6DAC" w:rsidRDefault="00CA5C89" w:rsidP="002E6DAC">
      <w:pPr>
        <w:spacing w:after="0" w:line="240" w:lineRule="auto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A5C89" w:rsidRPr="00630A4B" w:rsidRDefault="00CA5C89" w:rsidP="002E6DAC">
      <w:pPr>
        <w:pStyle w:val="5"/>
        <w:spacing w:after="0"/>
        <w:ind w:right="283"/>
        <w:jc w:val="center"/>
        <w:rPr>
          <w:rFonts w:ascii="PT Astra Sans" w:hAnsi="PT Astra Sans"/>
          <w:bCs w:val="0"/>
          <w:i w:val="0"/>
          <w:sz w:val="52"/>
          <w:szCs w:val="52"/>
        </w:rPr>
      </w:pPr>
      <w:r w:rsidRPr="00630A4B">
        <w:rPr>
          <w:rFonts w:ascii="PT Astra Sans" w:hAnsi="PT Astra Sans"/>
          <w:i w:val="0"/>
          <w:sz w:val="52"/>
          <w:szCs w:val="52"/>
        </w:rPr>
        <w:t>ПОСТАНОВЛЕНИЕ</w:t>
      </w:r>
    </w:p>
    <w:p w:rsidR="00CA5C89" w:rsidRPr="002E6DAC" w:rsidRDefault="00CA5C89" w:rsidP="002E6DAC">
      <w:pPr>
        <w:spacing w:after="0" w:line="240" w:lineRule="auto"/>
        <w:ind w:right="283" w:firstLine="567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E6DAC">
      <w:pPr>
        <w:spacing w:after="0" w:line="240" w:lineRule="auto"/>
        <w:ind w:right="283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от «</w:t>
      </w:r>
      <w:r w:rsidR="00560A05">
        <w:rPr>
          <w:rFonts w:ascii="PT Astra Sans" w:hAnsi="PT Astra Sans"/>
          <w:sz w:val="28"/>
          <w:szCs w:val="28"/>
        </w:rPr>
        <w:t>20</w:t>
      </w:r>
      <w:r w:rsidRPr="002E6DAC">
        <w:rPr>
          <w:rFonts w:ascii="PT Astra Sans" w:hAnsi="PT Astra Sans"/>
          <w:sz w:val="28"/>
          <w:szCs w:val="28"/>
        </w:rPr>
        <w:t xml:space="preserve">» </w:t>
      </w:r>
      <w:r w:rsidR="00560A05" w:rsidRPr="00560A05">
        <w:rPr>
          <w:rFonts w:ascii="PT Astra Sans" w:hAnsi="PT Astra Sans"/>
          <w:sz w:val="28"/>
          <w:szCs w:val="28"/>
          <w:u w:val="single"/>
        </w:rPr>
        <w:t>сентября</w:t>
      </w:r>
      <w:r w:rsidRPr="002E6DAC">
        <w:rPr>
          <w:rFonts w:ascii="PT Astra Sans" w:hAnsi="PT Astra Sans"/>
          <w:sz w:val="28"/>
          <w:szCs w:val="28"/>
        </w:rPr>
        <w:t xml:space="preserve"> 2023 года  № </w:t>
      </w:r>
      <w:r w:rsidR="00560A05">
        <w:rPr>
          <w:rFonts w:ascii="PT Astra Sans" w:hAnsi="PT Astra Sans"/>
          <w:sz w:val="28"/>
          <w:szCs w:val="28"/>
        </w:rPr>
        <w:t>708</w:t>
      </w:r>
    </w:p>
    <w:p w:rsidR="00CA5C89" w:rsidRPr="00560A05" w:rsidRDefault="00CA5C89" w:rsidP="002E6DAC">
      <w:pPr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0"/>
          <w:szCs w:val="20"/>
        </w:rPr>
      </w:pPr>
      <w:r w:rsidRPr="00560A05">
        <w:rPr>
          <w:rFonts w:ascii="PT Astra Sans" w:hAnsi="PT Astra Sans"/>
          <w:sz w:val="20"/>
          <w:szCs w:val="20"/>
        </w:rPr>
        <w:t xml:space="preserve">  </w:t>
      </w:r>
      <w:r w:rsidR="00560A05">
        <w:rPr>
          <w:rFonts w:ascii="PT Astra Sans" w:hAnsi="PT Astra Sans"/>
          <w:sz w:val="20"/>
          <w:szCs w:val="20"/>
        </w:rPr>
        <w:t xml:space="preserve"> </w:t>
      </w:r>
      <w:r w:rsidRPr="00560A05">
        <w:rPr>
          <w:rFonts w:ascii="PT Astra Sans" w:hAnsi="PT Astra Sans"/>
          <w:sz w:val="20"/>
          <w:szCs w:val="20"/>
        </w:rPr>
        <w:t xml:space="preserve">   с. Белозерское</w:t>
      </w:r>
    </w:p>
    <w:p w:rsidR="002E6DAC" w:rsidRDefault="002E6DAC" w:rsidP="002E6DAC">
      <w:pPr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630A4B" w:rsidRPr="002E6DAC" w:rsidRDefault="00630A4B" w:rsidP="002E6DAC">
      <w:pPr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r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2E6DAC">
        <w:rPr>
          <w:rFonts w:ascii="PT Astra Sans" w:hAnsi="PT Astra Sans"/>
          <w:b/>
          <w:sz w:val="28"/>
          <w:szCs w:val="28"/>
        </w:rPr>
        <w:t xml:space="preserve">от </w:t>
      </w:r>
      <w:r w:rsidR="00C800BB">
        <w:rPr>
          <w:rFonts w:ascii="PT Astra Sans" w:hAnsi="PT Astra Sans"/>
          <w:b/>
          <w:sz w:val="28"/>
          <w:szCs w:val="28"/>
        </w:rPr>
        <w:t xml:space="preserve">30 сентября 2022 года № 235 </w:t>
      </w:r>
      <w:r w:rsidRPr="002E6DAC">
        <w:rPr>
          <w:rFonts w:ascii="PT Astra Sans" w:hAnsi="PT Astra Sans"/>
          <w:b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  <w:bookmarkEnd w:id="0"/>
    </w:p>
    <w:p w:rsidR="00CA5C89" w:rsidRPr="002E6DAC" w:rsidRDefault="00CA5C89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A5C89" w:rsidRPr="002E6DAC" w:rsidRDefault="00CA5C89" w:rsidP="002E6DAC">
      <w:pPr>
        <w:spacing w:after="0" w:line="240" w:lineRule="auto"/>
        <w:ind w:right="283" w:firstLine="567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 xml:space="preserve">В целях упорядочения отраслевой оплаты труда работников учреждений культуры Белозерского муниципального округа, в соответствии со статьей 144 Трудового кодекса Российской Федерации, с Указом Президента Российской Федерации от 7 мая 2012 года №597 «О мероприятиях по реализации государственной социальной политики», </w:t>
      </w:r>
      <w:r w:rsidRPr="002E6DAC">
        <w:rPr>
          <w:rFonts w:ascii="PT Astra Sans" w:hAnsi="PT Astra Sans"/>
          <w:sz w:val="28"/>
          <w:szCs w:val="28"/>
        </w:rPr>
        <w:t xml:space="preserve">Администрация Белозерского муниципального округа </w:t>
      </w:r>
    </w:p>
    <w:p w:rsidR="00CA5C89" w:rsidRPr="002E6DAC" w:rsidRDefault="00CA5C89" w:rsidP="002E6DAC">
      <w:pPr>
        <w:spacing w:after="0" w:line="240" w:lineRule="auto"/>
        <w:ind w:right="283" w:firstLine="567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ПОСТАНОВЛЯЕТ:</w:t>
      </w:r>
    </w:p>
    <w:p w:rsidR="00CA5C89" w:rsidRPr="002E6DAC" w:rsidRDefault="00CA5C89" w:rsidP="002E6D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83" w:firstLine="567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>Внести в постановление Администрации Белозерского муниципал</w:t>
      </w:r>
      <w:r w:rsidR="00630A4B">
        <w:rPr>
          <w:rFonts w:ascii="PT Astra Sans" w:hAnsi="PT Astra Sans"/>
          <w:bCs/>
          <w:sz w:val="28"/>
          <w:szCs w:val="28"/>
        </w:rPr>
        <w:t>ьного округа от 30 сентября 2022</w:t>
      </w:r>
      <w:r w:rsidRPr="002E6DAC">
        <w:rPr>
          <w:rFonts w:ascii="PT Astra Sans" w:hAnsi="PT Astra Sans"/>
          <w:bCs/>
          <w:sz w:val="28"/>
          <w:szCs w:val="28"/>
        </w:rPr>
        <w:t xml:space="preserve"> года № 235 </w:t>
      </w:r>
      <w:r w:rsidRPr="002E6DAC">
        <w:rPr>
          <w:rFonts w:ascii="PT Astra Sans" w:hAnsi="PT Astra Sans"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 следующие изменения:</w:t>
      </w:r>
    </w:p>
    <w:p w:rsidR="00CA5C89" w:rsidRPr="002E6DAC" w:rsidRDefault="00CA5C89" w:rsidP="002E6DAC">
      <w:pPr>
        <w:pStyle w:val="a3"/>
        <w:tabs>
          <w:tab w:val="left" w:pos="851"/>
        </w:tabs>
        <w:spacing w:after="0" w:line="240" w:lineRule="auto"/>
        <w:ind w:left="567" w:right="283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- пункты 14, 44 изложить в следующей редакции:</w:t>
      </w:r>
    </w:p>
    <w:p w:rsidR="00CA5C89" w:rsidRPr="002E6DAC" w:rsidRDefault="00CA5C89" w:rsidP="002E6DAC">
      <w:pPr>
        <w:pStyle w:val="ConsPlusNormal"/>
        <w:ind w:right="283" w:firstLine="567"/>
        <w:jc w:val="both"/>
        <w:rPr>
          <w:rFonts w:ascii="PT Astra Sans" w:hAnsi="PT Astra Sans" w:cs="Times New Roman"/>
          <w:sz w:val="28"/>
          <w:szCs w:val="28"/>
          <w:u w:val="single"/>
        </w:rPr>
      </w:pPr>
      <w:r w:rsidRPr="002E6DAC">
        <w:rPr>
          <w:rFonts w:ascii="PT Astra Sans" w:hAnsi="PT Astra Sans"/>
          <w:sz w:val="28"/>
          <w:szCs w:val="28"/>
        </w:rPr>
        <w:t xml:space="preserve">«14. </w:t>
      </w:r>
      <w:r w:rsidRPr="002E6DAC">
        <w:rPr>
          <w:rFonts w:ascii="PT Astra Sans" w:hAnsi="PT Astra Sans" w:cs="Times New Roman"/>
          <w:sz w:val="28"/>
          <w:szCs w:val="28"/>
        </w:rPr>
        <w:t xml:space="preserve"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8" w:anchor="Par106" w:tooltip="Таблица 1" w:history="1">
        <w:r w:rsidRPr="002E6DAC">
          <w:rPr>
            <w:rStyle w:val="a4"/>
            <w:rFonts w:ascii="PT Astra Sans" w:hAnsi="PT Astra Sans" w:cs="Times New Roman"/>
            <w:color w:val="000000" w:themeColor="text1"/>
            <w:sz w:val="28"/>
            <w:szCs w:val="28"/>
          </w:rPr>
          <w:t>таблицей 1</w:t>
        </w:r>
      </w:hyperlink>
      <w:r w:rsidRPr="002E6DAC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CA5C89" w:rsidRPr="002E6DAC" w:rsidRDefault="00CA5C89" w:rsidP="002E6DAC">
      <w:pPr>
        <w:pStyle w:val="ConsPlusNormal"/>
        <w:ind w:right="283" w:firstLine="567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34"/>
      </w:tblGrid>
      <w:tr w:rsidR="00CA5C89" w:rsidRPr="002E6DAC" w:rsidTr="002E6DAC">
        <w:trPr>
          <w:trHeight w:val="5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ind w:firstLine="709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Должностной оклад, (рубль)</w:t>
            </w:r>
          </w:p>
        </w:tc>
      </w:tr>
      <w:tr w:rsidR="00CA5C89" w:rsidRPr="002E6DAC" w:rsidTr="002E6DAC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2E6DAC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10</w:t>
            </w:r>
            <w:r w:rsidR="00CA5C89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lastRenderedPageBreak/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2E6DAC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12</w:t>
            </w:r>
            <w:r w:rsidR="00CA5C89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2E6DAC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14</w:t>
            </w:r>
            <w:r w:rsidR="00CA5C89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</w:t>
            </w:r>
            <w:r w:rsidR="002E6DAC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5</w:t>
            </w: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2E6DAC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11</w:t>
            </w:r>
            <w:r w:rsidR="00CA5C89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2E6DAC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14</w:t>
            </w:r>
            <w:r w:rsidR="00CA5C89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A5C89" w:rsidRPr="002E6DAC" w:rsidTr="002E6DA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CA5C89" w:rsidP="002E6DAC">
            <w:pPr>
              <w:pStyle w:val="ConsPlusNormal"/>
              <w:jc w:val="both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9" w:rsidRPr="002E6DAC" w:rsidRDefault="00CA5C89" w:rsidP="002E6DAC">
            <w:pPr>
              <w:pStyle w:val="ConsPlusNormal"/>
              <w:ind w:firstLine="13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</w:t>
            </w:r>
            <w:r w:rsidR="002E6DAC"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7</w:t>
            </w: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CA5C89" w:rsidRPr="002E6DAC" w:rsidRDefault="00CA5C89" w:rsidP="002E6DAC">
      <w:pPr>
        <w:pStyle w:val="Textbody"/>
        <w:spacing w:after="0"/>
        <w:ind w:right="283" w:firstLine="567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Отнесение должностей к ПКГ осуществляется в соответствии с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руководителей, специалистов и служащих» единым квалификационным справочником должностей руководителей, специалистов и других служащих (ЕКС) 2017 года».</w:t>
      </w:r>
    </w:p>
    <w:p w:rsidR="002E6DAC" w:rsidRPr="002E6DAC" w:rsidRDefault="002E6DAC" w:rsidP="002E6DAC">
      <w:pPr>
        <w:pStyle w:val="ConsPlusNormal"/>
        <w:ind w:right="283" w:firstLine="709"/>
        <w:jc w:val="both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 xml:space="preserve">«44. </w:t>
      </w:r>
      <w:r w:rsidRPr="002E6DAC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учреждения устанавливается в зависимости от типа и численности работников учреждения в соответствии с </w:t>
      </w:r>
      <w:hyperlink w:anchor="Par309" w:tooltip="Таблица 2" w:history="1">
        <w:r w:rsidRPr="002E6DAC">
          <w:rPr>
            <w:rFonts w:ascii="PT Astra Sans" w:hAnsi="PT Astra Sans" w:cs="Times New Roman"/>
            <w:sz w:val="28"/>
            <w:szCs w:val="28"/>
          </w:rPr>
          <w:t>таблицей 2</w:t>
        </w:r>
      </w:hyperlink>
      <w:r w:rsidRPr="002E6DAC">
        <w:rPr>
          <w:rFonts w:ascii="PT Astra Sans" w:hAnsi="PT Astra Sans" w:cs="Times New Roman"/>
          <w:sz w:val="28"/>
          <w:szCs w:val="28"/>
        </w:rPr>
        <w:t>.</w:t>
      </w:r>
    </w:p>
    <w:p w:rsidR="002E6DAC" w:rsidRPr="002E6DAC" w:rsidRDefault="002E6DAC" w:rsidP="002E6DAC">
      <w:pPr>
        <w:pStyle w:val="ConsPlusNormal"/>
        <w:ind w:right="283" w:firstLine="709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1984"/>
        <w:gridCol w:w="1909"/>
        <w:gridCol w:w="1918"/>
      </w:tblGrid>
      <w:tr w:rsidR="002E6DAC" w:rsidRPr="002E6DAC" w:rsidTr="002E6DAC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Учреждение культуры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Численность работников учреждения (штатная единица)</w:t>
            </w:r>
          </w:p>
        </w:tc>
      </w:tr>
      <w:tr w:rsidR="002E6DAC" w:rsidRPr="002E6DAC" w:rsidTr="002E6DAC">
        <w:trPr>
          <w:trHeight w:val="45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right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до 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от 40 до 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от 81 до 160</w:t>
            </w:r>
          </w:p>
        </w:tc>
      </w:tr>
      <w:tr w:rsidR="002E6DAC" w:rsidRPr="002E6DAC" w:rsidTr="002E6DA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both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Размер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tabs>
                <w:tab w:val="left" w:pos="240"/>
                <w:tab w:val="center" w:pos="544"/>
              </w:tabs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18000 рублей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 xml:space="preserve">20000 </w:t>
            </w:r>
            <w:r>
              <w:rPr>
                <w:rFonts w:ascii="PT Astra Sans" w:hAnsi="PT Astra Sans" w:cs="Times New Roman"/>
                <w:sz w:val="28"/>
                <w:szCs w:val="28"/>
              </w:rPr>
              <w:t>р</w:t>
            </w:r>
            <w:r w:rsidRPr="002E6DAC">
              <w:rPr>
                <w:rFonts w:ascii="PT Astra Sans" w:hAnsi="PT Astra Sans" w:cs="Times New Roman"/>
                <w:sz w:val="28"/>
                <w:szCs w:val="28"/>
              </w:rPr>
              <w:t>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E6DAC">
            <w:pPr>
              <w:pStyle w:val="ConsPlusNormal"/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21000 рублей</w:t>
            </w:r>
          </w:p>
        </w:tc>
      </w:tr>
    </w:tbl>
    <w:p w:rsidR="002E6DAC" w:rsidRDefault="002E6DAC" w:rsidP="002E6DAC">
      <w:pPr>
        <w:pStyle w:val="Textbody"/>
        <w:spacing w:after="0"/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630A4B" w:rsidRDefault="00F33AD6" w:rsidP="00630A4B">
      <w:pPr>
        <w:pStyle w:val="Textbody"/>
        <w:numPr>
          <w:ilvl w:val="0"/>
          <w:numId w:val="2"/>
        </w:numPr>
        <w:tabs>
          <w:tab w:val="left" w:pos="851"/>
        </w:tabs>
        <w:spacing w:after="0"/>
        <w:ind w:left="0"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Настоящее п</w:t>
      </w:r>
      <w:r w:rsidR="00630A4B">
        <w:rPr>
          <w:rFonts w:ascii="PT Astra Sans" w:hAnsi="PT Astra Sans"/>
          <w:sz w:val="28"/>
          <w:szCs w:val="28"/>
        </w:rPr>
        <w:t>остановление</w:t>
      </w:r>
      <w:r>
        <w:rPr>
          <w:rFonts w:ascii="PT Astra Sans" w:hAnsi="PT Astra Sans"/>
          <w:sz w:val="28"/>
          <w:szCs w:val="28"/>
        </w:rPr>
        <w:t xml:space="preserve"> применяется </w:t>
      </w:r>
      <w:r w:rsidR="00630A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к </w:t>
      </w:r>
      <w:proofErr w:type="gramStart"/>
      <w:r>
        <w:rPr>
          <w:rFonts w:ascii="PT Astra Sans" w:hAnsi="PT Astra Sans"/>
          <w:sz w:val="28"/>
          <w:szCs w:val="28"/>
        </w:rPr>
        <w:t>правоотношениям</w:t>
      </w:r>
      <w:proofErr w:type="gramEnd"/>
      <w:r>
        <w:rPr>
          <w:rFonts w:ascii="PT Astra Sans" w:hAnsi="PT Astra Sans"/>
          <w:sz w:val="28"/>
          <w:szCs w:val="28"/>
        </w:rPr>
        <w:t xml:space="preserve"> возникшим с </w:t>
      </w:r>
      <w:r w:rsidR="00630A4B">
        <w:rPr>
          <w:rFonts w:ascii="PT Astra Sans" w:hAnsi="PT Astra Sans"/>
          <w:sz w:val="28"/>
          <w:szCs w:val="28"/>
        </w:rPr>
        <w:t>1 сентября 2023 года.</w:t>
      </w:r>
    </w:p>
    <w:p w:rsidR="00630A4B" w:rsidRDefault="00630A4B" w:rsidP="00630A4B">
      <w:pPr>
        <w:pStyle w:val="Textbody"/>
        <w:numPr>
          <w:ilvl w:val="0"/>
          <w:numId w:val="2"/>
        </w:numPr>
        <w:tabs>
          <w:tab w:val="left" w:pos="851"/>
        </w:tabs>
        <w:spacing w:after="0"/>
        <w:ind w:left="0" w:right="283" w:firstLine="567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PT Astra Sans" w:hAnsi="PT Astra Sans"/>
          <w:sz w:val="28"/>
          <w:szCs w:val="28"/>
        </w:rPr>
        <w:t>.</w:t>
      </w:r>
    </w:p>
    <w:p w:rsidR="00630A4B" w:rsidRPr="002E6DAC" w:rsidRDefault="00630A4B" w:rsidP="00630A4B">
      <w:pPr>
        <w:pStyle w:val="Textbody"/>
        <w:numPr>
          <w:ilvl w:val="0"/>
          <w:numId w:val="2"/>
        </w:numPr>
        <w:tabs>
          <w:tab w:val="left" w:pos="851"/>
        </w:tabs>
        <w:spacing w:after="0"/>
        <w:ind w:left="0" w:right="283" w:firstLine="567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PT Astra Sans" w:hAnsi="PT Astra Sans"/>
          <w:sz w:val="28"/>
          <w:szCs w:val="28"/>
        </w:rPr>
        <w:t xml:space="preserve"> первого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CA5C89" w:rsidRPr="002E6DAC" w:rsidRDefault="00CA5C89" w:rsidP="00630A4B">
      <w:pPr>
        <w:pStyle w:val="a3"/>
        <w:tabs>
          <w:tab w:val="left" w:pos="851"/>
        </w:tabs>
        <w:spacing w:after="0" w:line="240" w:lineRule="auto"/>
        <w:ind w:left="0" w:right="283" w:firstLine="567"/>
        <w:jc w:val="both"/>
        <w:outlineLvl w:val="0"/>
        <w:rPr>
          <w:rFonts w:ascii="PT Astra Sans" w:hAnsi="PT Astra Sans"/>
          <w:sz w:val="28"/>
          <w:szCs w:val="28"/>
        </w:rPr>
      </w:pPr>
    </w:p>
    <w:p w:rsidR="00CA5C89" w:rsidRDefault="00CA5C89" w:rsidP="00630A4B">
      <w:pPr>
        <w:tabs>
          <w:tab w:val="left" w:pos="851"/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</w:p>
    <w:p w:rsidR="002E6DAC" w:rsidRPr="002E6DAC" w:rsidRDefault="002E6DAC" w:rsidP="002E6DAC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</w:p>
    <w:p w:rsidR="00CA5C89" w:rsidRPr="002E6DAC" w:rsidRDefault="002E6DAC" w:rsidP="002E6DAC">
      <w:pPr>
        <w:spacing w:after="0" w:line="240" w:lineRule="auto"/>
        <w:ind w:right="283"/>
        <w:rPr>
          <w:sz w:val="28"/>
          <w:szCs w:val="28"/>
        </w:rPr>
      </w:pPr>
      <w:r w:rsidRPr="002E6DAC">
        <w:rPr>
          <w:sz w:val="28"/>
          <w:szCs w:val="28"/>
        </w:rPr>
        <w:t xml:space="preserve">Временно исполняющий обязанности </w:t>
      </w:r>
    </w:p>
    <w:p w:rsidR="002E6DAC" w:rsidRDefault="002E6DAC" w:rsidP="002E6DAC">
      <w:pPr>
        <w:spacing w:after="0" w:line="240" w:lineRule="auto"/>
        <w:ind w:right="283"/>
        <w:rPr>
          <w:sz w:val="28"/>
          <w:szCs w:val="28"/>
        </w:rPr>
      </w:pPr>
      <w:r w:rsidRPr="002E6DAC">
        <w:rPr>
          <w:sz w:val="28"/>
          <w:szCs w:val="28"/>
        </w:rPr>
        <w:t>Главы Белозерского муниципального округа</w:t>
      </w:r>
      <w:r>
        <w:rPr>
          <w:sz w:val="28"/>
          <w:szCs w:val="28"/>
        </w:rPr>
        <w:t xml:space="preserve">                             Н.А. Богданова</w:t>
      </w:r>
    </w:p>
    <w:p w:rsidR="002E6DAC" w:rsidRDefault="002E6DAC" w:rsidP="002E6DAC">
      <w:pPr>
        <w:spacing w:after="0" w:line="240" w:lineRule="auto"/>
        <w:ind w:right="283"/>
        <w:rPr>
          <w:sz w:val="28"/>
          <w:szCs w:val="28"/>
        </w:rPr>
      </w:pPr>
    </w:p>
    <w:p w:rsidR="002E6DAC" w:rsidRDefault="002E6DAC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C800BB" w:rsidRPr="002E6DAC" w:rsidRDefault="002E6DAC" w:rsidP="00C800BB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b/>
          <w:sz w:val="28"/>
          <w:szCs w:val="28"/>
        </w:rPr>
        <w:t>Пояснительная записка к постановлению Администрации Белозерского муниципального округа</w:t>
      </w:r>
      <w:r>
        <w:rPr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>«</w:t>
      </w:r>
      <w:r w:rsidR="00C800BB"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C800BB">
        <w:rPr>
          <w:rFonts w:ascii="PT Astra Sans" w:hAnsi="PT Astra Sans"/>
          <w:b/>
          <w:sz w:val="28"/>
          <w:szCs w:val="28"/>
        </w:rPr>
        <w:t xml:space="preserve">от 30 сентября 2022 года № 235 </w:t>
      </w:r>
      <w:r w:rsidR="00C800BB" w:rsidRPr="002E6DAC">
        <w:rPr>
          <w:rFonts w:ascii="PT Astra Sans" w:hAnsi="PT Astra Sans"/>
          <w:b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</w:p>
    <w:p w:rsidR="002E6DAC" w:rsidRDefault="002E6DAC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 w:rsidRPr="00C800BB">
        <w:rPr>
          <w:rFonts w:ascii="PT Astra Sans" w:hAnsi="PT Astra Sans"/>
          <w:sz w:val="28"/>
          <w:szCs w:val="28"/>
        </w:rPr>
        <w:t>Изменения в постановление Администрации Белозерского муниципального округа 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  <w:r>
        <w:rPr>
          <w:rFonts w:ascii="PT Astra Sans" w:hAnsi="PT Astra Sans"/>
          <w:sz w:val="28"/>
          <w:szCs w:val="28"/>
        </w:rPr>
        <w:t xml:space="preserve"> </w:t>
      </w:r>
      <w:r w:rsidRPr="00C800BB">
        <w:rPr>
          <w:rFonts w:ascii="PT Astra Sans" w:hAnsi="PT Astra Sans"/>
          <w:sz w:val="28"/>
          <w:szCs w:val="28"/>
        </w:rPr>
        <w:t xml:space="preserve">вносятся </w:t>
      </w:r>
      <w:r>
        <w:rPr>
          <w:rFonts w:ascii="PT Astra Sans" w:hAnsi="PT Astra Sans"/>
          <w:sz w:val="28"/>
          <w:szCs w:val="28"/>
        </w:rPr>
        <w:t>в связи с двукратным повышением средней заработной платы работников культуры в 2023 году.</w:t>
      </w:r>
    </w:p>
    <w:p w:rsidR="00C800BB" w:rsidRP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Повышение окладов работников не повлечет за собой увеличение фонда оплаты труда работников культуры Белозерского муниципального округа.</w:t>
      </w: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sectPr w:rsidR="002E6DAC" w:rsidRPr="00C800B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F0" w:rsidRDefault="00F64DF0" w:rsidP="00630A4B">
      <w:pPr>
        <w:spacing w:after="0" w:line="240" w:lineRule="auto"/>
      </w:pPr>
      <w:r>
        <w:separator/>
      </w:r>
    </w:p>
  </w:endnote>
  <w:endnote w:type="continuationSeparator" w:id="0">
    <w:p w:rsidR="00F64DF0" w:rsidRDefault="00F64DF0" w:rsidP="0063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F0" w:rsidRDefault="00F64DF0" w:rsidP="00630A4B">
      <w:pPr>
        <w:spacing w:after="0" w:line="240" w:lineRule="auto"/>
      </w:pPr>
      <w:r>
        <w:separator/>
      </w:r>
    </w:p>
  </w:footnote>
  <w:footnote w:type="continuationSeparator" w:id="0">
    <w:p w:rsidR="00F64DF0" w:rsidRDefault="00F64DF0" w:rsidP="0063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4032"/>
      <w:docPartObj>
        <w:docPartGallery w:val="Page Numbers (Top of Page)"/>
        <w:docPartUnique/>
      </w:docPartObj>
    </w:sdtPr>
    <w:sdtEndPr/>
    <w:sdtContent>
      <w:p w:rsidR="00630A4B" w:rsidRDefault="00630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05">
          <w:rPr>
            <w:noProof/>
          </w:rPr>
          <w:t>1</w:t>
        </w:r>
        <w:r>
          <w:fldChar w:fldCharType="end"/>
        </w:r>
      </w:p>
    </w:sdtContent>
  </w:sdt>
  <w:p w:rsidR="00630A4B" w:rsidRDefault="00630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2102AF10"/>
    <w:lvl w:ilvl="0" w:tplc="7026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60F"/>
    <w:multiLevelType w:val="hybridMultilevel"/>
    <w:tmpl w:val="9642E350"/>
    <w:lvl w:ilvl="0" w:tplc="91BEA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FA"/>
    <w:rsid w:val="000D6AFA"/>
    <w:rsid w:val="00255F9F"/>
    <w:rsid w:val="002E6DAC"/>
    <w:rsid w:val="00560A05"/>
    <w:rsid w:val="00573291"/>
    <w:rsid w:val="00630A4B"/>
    <w:rsid w:val="007C6F25"/>
    <w:rsid w:val="00A9253A"/>
    <w:rsid w:val="00C800BB"/>
    <w:rsid w:val="00CA5C89"/>
    <w:rsid w:val="00E00C64"/>
    <w:rsid w:val="00F33AD6"/>
    <w:rsid w:val="00F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2</cp:revision>
  <cp:lastPrinted>2023-09-19T04:58:00Z</cp:lastPrinted>
  <dcterms:created xsi:type="dcterms:W3CDTF">2023-09-21T09:33:00Z</dcterms:created>
  <dcterms:modified xsi:type="dcterms:W3CDTF">2023-09-21T09:33:00Z</dcterms:modified>
</cp:coreProperties>
</file>