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CC" w:rsidRPr="00626683" w:rsidRDefault="00A60DCC" w:rsidP="00A60DCC">
      <w:pPr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sz w:val="32"/>
          <w:szCs w:val="36"/>
          <w:lang w:eastAsia="ru-RU"/>
        </w:rPr>
      </w:pPr>
      <w:bookmarkStart w:id="0" w:name="_GoBack"/>
      <w:bookmarkEnd w:id="0"/>
      <w:r w:rsidRPr="00626683">
        <w:rPr>
          <w:rFonts w:ascii="PT Astra Sans" w:eastAsia="Times New Roman" w:hAnsi="PT Astra Sans" w:cstheme="minorHAnsi"/>
          <w:b/>
          <w:sz w:val="32"/>
          <w:szCs w:val="36"/>
          <w:lang w:eastAsia="ru-RU"/>
        </w:rPr>
        <w:t xml:space="preserve">Администрация </w:t>
      </w:r>
    </w:p>
    <w:p w:rsidR="00A60DCC" w:rsidRPr="00626683" w:rsidRDefault="00A60DCC" w:rsidP="00A60DCC">
      <w:pPr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sz w:val="32"/>
          <w:szCs w:val="36"/>
          <w:lang w:eastAsia="ru-RU"/>
        </w:rPr>
      </w:pPr>
      <w:r w:rsidRPr="00626683">
        <w:rPr>
          <w:rFonts w:ascii="PT Astra Sans" w:eastAsia="Times New Roman" w:hAnsi="PT Astra Sans" w:cstheme="minorHAnsi"/>
          <w:b/>
          <w:sz w:val="32"/>
          <w:szCs w:val="36"/>
          <w:lang w:eastAsia="ru-RU"/>
        </w:rPr>
        <w:t>Белозерского муниципального округа</w:t>
      </w:r>
    </w:p>
    <w:p w:rsidR="00A60DCC" w:rsidRPr="00626683" w:rsidRDefault="00A60DCC" w:rsidP="00A60DCC">
      <w:pPr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bCs/>
          <w:sz w:val="32"/>
          <w:szCs w:val="36"/>
          <w:lang w:eastAsia="ru-RU"/>
        </w:rPr>
      </w:pPr>
      <w:r w:rsidRPr="00626683">
        <w:rPr>
          <w:rFonts w:ascii="PT Astra Sans" w:eastAsia="Times New Roman" w:hAnsi="PT Astra Sans" w:cstheme="minorHAnsi"/>
          <w:b/>
          <w:bCs/>
          <w:sz w:val="32"/>
          <w:szCs w:val="36"/>
          <w:lang w:eastAsia="ru-RU"/>
        </w:rPr>
        <w:t>Курганской области</w:t>
      </w:r>
    </w:p>
    <w:p w:rsidR="00A60DCC" w:rsidRPr="00626683" w:rsidRDefault="00A60DCC" w:rsidP="00A60DCC">
      <w:pPr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bCs/>
          <w:sz w:val="24"/>
          <w:szCs w:val="28"/>
          <w:lang w:eastAsia="ru-RU"/>
        </w:rPr>
      </w:pPr>
    </w:p>
    <w:p w:rsidR="00A60DCC" w:rsidRPr="00626683" w:rsidRDefault="00A60DCC" w:rsidP="00A60DCC">
      <w:pPr>
        <w:widowControl w:val="0"/>
        <w:suppressAutoHyphens/>
        <w:autoSpaceDN w:val="0"/>
        <w:spacing w:before="240" w:after="0" w:line="240" w:lineRule="auto"/>
        <w:ind w:right="283"/>
        <w:jc w:val="center"/>
        <w:outlineLvl w:val="4"/>
        <w:rPr>
          <w:rFonts w:ascii="PT Astra Sans" w:eastAsia="Times New Roman" w:hAnsi="PT Astra Sans" w:cstheme="minorHAnsi"/>
          <w:b/>
          <w:iCs/>
          <w:kern w:val="3"/>
          <w:sz w:val="48"/>
          <w:szCs w:val="52"/>
          <w:lang w:val="x-none" w:eastAsia="zh-CN"/>
        </w:rPr>
      </w:pPr>
      <w:r w:rsidRPr="00626683">
        <w:rPr>
          <w:rFonts w:ascii="PT Astra Sans" w:eastAsia="Times New Roman" w:hAnsi="PT Astra Sans" w:cstheme="minorHAnsi"/>
          <w:b/>
          <w:bCs/>
          <w:iCs/>
          <w:kern w:val="3"/>
          <w:sz w:val="48"/>
          <w:szCs w:val="52"/>
          <w:lang w:val="x-none" w:eastAsia="zh-CN"/>
        </w:rPr>
        <w:t>ПОСТАНОВЛЕНИЕ</w:t>
      </w:r>
    </w:p>
    <w:p w:rsidR="00A60DCC" w:rsidRPr="00626683" w:rsidRDefault="00A60DCC" w:rsidP="00A60DCC">
      <w:pPr>
        <w:spacing w:after="0" w:line="240" w:lineRule="auto"/>
        <w:ind w:right="283" w:firstLine="567"/>
        <w:jc w:val="center"/>
        <w:outlineLvl w:val="0"/>
        <w:rPr>
          <w:rFonts w:ascii="PT Astra Sans" w:eastAsia="Times New Roman" w:hAnsi="PT Astra Sans" w:cstheme="minorHAnsi"/>
          <w:b/>
          <w:bCs/>
          <w:sz w:val="24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/>
        <w:jc w:val="both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от «___» ____________ 2024 года  № ___</w:t>
      </w:r>
    </w:p>
    <w:p w:rsidR="00A60DCC" w:rsidRPr="00626683" w:rsidRDefault="00A60DCC" w:rsidP="00A60DCC">
      <w:pPr>
        <w:spacing w:after="0" w:line="240" w:lineRule="auto"/>
        <w:ind w:right="283" w:firstLine="567"/>
        <w:outlineLvl w:val="0"/>
        <w:rPr>
          <w:rFonts w:ascii="PT Astra Sans" w:eastAsia="Times New Roman" w:hAnsi="PT Astra Sans" w:cstheme="minorHAnsi"/>
          <w:b/>
          <w:bCs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         с. Белозерское</w:t>
      </w:r>
    </w:p>
    <w:p w:rsidR="00A60DCC" w:rsidRPr="00626683" w:rsidRDefault="00A60DCC" w:rsidP="00A60DCC">
      <w:pPr>
        <w:spacing w:after="0" w:line="240" w:lineRule="auto"/>
        <w:ind w:right="283" w:firstLine="567"/>
        <w:outlineLvl w:val="0"/>
        <w:rPr>
          <w:rFonts w:ascii="PT Astra Sans" w:eastAsia="Times New Roman" w:hAnsi="PT Astra Sans" w:cstheme="minorHAnsi"/>
          <w:b/>
          <w:bCs/>
          <w:sz w:val="24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 w:firstLine="567"/>
        <w:outlineLvl w:val="0"/>
        <w:rPr>
          <w:rFonts w:ascii="PT Astra Sans" w:eastAsia="Times New Roman" w:hAnsi="PT Astra Sans" w:cstheme="minorHAnsi"/>
          <w:b/>
          <w:bCs/>
          <w:sz w:val="24"/>
          <w:szCs w:val="28"/>
          <w:lang w:eastAsia="ru-RU"/>
        </w:rPr>
      </w:pPr>
    </w:p>
    <w:p w:rsidR="00580231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b/>
          <w:sz w:val="24"/>
          <w:szCs w:val="28"/>
          <w:lang w:eastAsia="ru-RU"/>
        </w:rPr>
        <w:t>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</w:t>
      </w: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b/>
          <w:sz w:val="24"/>
          <w:szCs w:val="28"/>
          <w:lang w:eastAsia="ru-RU"/>
        </w:rPr>
        <w:t xml:space="preserve"> Администрации Белозерского муниципального округа»</w:t>
      </w: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theme="minorHAnsi"/>
          <w:b/>
          <w:sz w:val="24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 w:firstLine="567"/>
        <w:jc w:val="both"/>
        <w:outlineLvl w:val="0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bCs/>
          <w:sz w:val="24"/>
          <w:szCs w:val="28"/>
          <w:lang w:eastAsia="ru-RU"/>
        </w:rPr>
        <w:t xml:space="preserve">В целях упорядочения отраслевой оплаты труда работников учреждений культуры Белозерского муниципального округа, в соответствии со статьей 144 Трудового кодекса Российской Федерации, с Указом Президента Российской Федерации от 7 мая 2012 года №597 «О мероприятиях по реализации государственной социальной политики», </w:t>
      </w: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Администрация Белозерского муниципального округа </w:t>
      </w:r>
    </w:p>
    <w:p w:rsidR="00913534" w:rsidRDefault="00A60DCC" w:rsidP="00913534">
      <w:pPr>
        <w:spacing w:after="0" w:line="240" w:lineRule="auto"/>
        <w:ind w:right="283" w:firstLine="567"/>
        <w:jc w:val="both"/>
        <w:outlineLvl w:val="0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ПОСТАНОВЛЯЕТ:</w:t>
      </w:r>
    </w:p>
    <w:p w:rsidR="00A60DCC" w:rsidRPr="00913534" w:rsidRDefault="00913534" w:rsidP="00913534">
      <w:pPr>
        <w:spacing w:after="0" w:line="240" w:lineRule="auto"/>
        <w:ind w:right="283"/>
        <w:jc w:val="both"/>
        <w:outlineLvl w:val="0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   </w:t>
      </w:r>
      <w:r w:rsidR="00AB7510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 </w:t>
      </w:r>
      <w:r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1. </w:t>
      </w:r>
      <w:r w:rsidR="00A60DCC" w:rsidRPr="00913534">
        <w:rPr>
          <w:rFonts w:ascii="PT Astra Sans" w:eastAsia="Times New Roman" w:hAnsi="PT Astra Sans" w:cstheme="minorHAnsi"/>
          <w:bCs/>
          <w:sz w:val="24"/>
          <w:szCs w:val="28"/>
          <w:lang w:eastAsia="ru-RU"/>
        </w:rPr>
        <w:t xml:space="preserve">Внести в постановление Администрации Белозерского муниципального округа от </w:t>
      </w:r>
      <w:r w:rsidR="00626683" w:rsidRPr="00913534">
        <w:rPr>
          <w:rFonts w:ascii="PT Astra Sans" w:eastAsia="Times New Roman" w:hAnsi="PT Astra Sans" w:cstheme="minorHAnsi"/>
          <w:bCs/>
          <w:sz w:val="24"/>
          <w:szCs w:val="28"/>
          <w:lang w:eastAsia="ru-RU"/>
        </w:rPr>
        <w:t xml:space="preserve">30 </w:t>
      </w:r>
      <w:r w:rsidR="00A60DCC" w:rsidRPr="00913534">
        <w:rPr>
          <w:rFonts w:ascii="PT Astra Sans" w:eastAsia="Times New Roman" w:hAnsi="PT Astra Sans" w:cstheme="minorHAnsi"/>
          <w:bCs/>
          <w:sz w:val="24"/>
          <w:szCs w:val="28"/>
          <w:lang w:eastAsia="ru-RU"/>
        </w:rPr>
        <w:t xml:space="preserve">сентября 2022 года № 235 </w:t>
      </w:r>
      <w:r w:rsidR="00A60DCC" w:rsidRPr="00913534">
        <w:rPr>
          <w:rFonts w:ascii="PT Astra Sans" w:eastAsia="Times New Roman" w:hAnsi="PT Astra Sans" w:cstheme="minorHAnsi"/>
          <w:sz w:val="24"/>
          <w:szCs w:val="28"/>
          <w:lang w:eastAsia="ru-RU"/>
        </w:rPr>
        <w:t>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 следующие изменения:</w:t>
      </w:r>
    </w:p>
    <w:p w:rsidR="00A60DCC" w:rsidRPr="00626683" w:rsidRDefault="00580231" w:rsidP="00AB7510">
      <w:pPr>
        <w:tabs>
          <w:tab w:val="left" w:pos="851"/>
        </w:tabs>
        <w:spacing w:after="0" w:line="240" w:lineRule="auto"/>
        <w:ind w:right="283"/>
        <w:contextualSpacing/>
        <w:jc w:val="both"/>
        <w:outlineLvl w:val="0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</w:t>
      </w:r>
      <w:r w:rsid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- пункт 14</w:t>
      </w:r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</w:t>
      </w:r>
      <w:r w:rsidR="00913534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приложения к данному постановлению </w:t>
      </w:r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изложить в следующей редакции:</w:t>
      </w:r>
    </w:p>
    <w:p w:rsidR="00A60DCC" w:rsidRPr="00626683" w:rsidRDefault="00AB7510" w:rsidP="00626683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sz w:val="24"/>
          <w:szCs w:val="28"/>
          <w:u w:val="single"/>
          <w:lang w:eastAsia="ru-RU"/>
        </w:rPr>
      </w:pPr>
      <w:r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</w:t>
      </w:r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«14. 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6" w:anchor="Par106" w:tooltip="Таблица 1" w:history="1">
        <w:r w:rsidR="00A60DCC" w:rsidRPr="00626683">
          <w:rPr>
            <w:rFonts w:ascii="PT Astra Sans" w:eastAsia="Times New Roman" w:hAnsi="PT Astra Sans" w:cstheme="minorHAnsi"/>
            <w:color w:val="000000" w:themeColor="text1"/>
            <w:sz w:val="24"/>
            <w:szCs w:val="28"/>
            <w:u w:val="single"/>
            <w:lang w:eastAsia="ru-RU"/>
          </w:rPr>
          <w:t>таблицей 1</w:t>
        </w:r>
      </w:hyperlink>
      <w:r w:rsidR="00A60DCC" w:rsidRPr="00626683">
        <w:rPr>
          <w:rFonts w:ascii="PT Astra Sans" w:eastAsia="Times New Roman" w:hAnsi="PT Astra Sans" w:cstheme="minorHAnsi"/>
          <w:color w:val="000000" w:themeColor="text1"/>
          <w:sz w:val="24"/>
          <w:szCs w:val="28"/>
          <w:lang w:eastAsia="ru-RU"/>
        </w:rPr>
        <w:t>.</w:t>
      </w:r>
    </w:p>
    <w:p w:rsidR="00A60DCC" w:rsidRPr="00626683" w:rsidRDefault="00A60DCC" w:rsidP="00A60DCC">
      <w:pPr>
        <w:widowControl w:val="0"/>
        <w:autoSpaceDE w:val="0"/>
        <w:autoSpaceDN w:val="0"/>
        <w:adjustRightInd w:val="0"/>
        <w:spacing w:after="0" w:line="240" w:lineRule="auto"/>
        <w:ind w:right="283" w:firstLine="567"/>
        <w:jc w:val="right"/>
        <w:outlineLvl w:val="2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Таблица 1</w:t>
      </w:r>
    </w:p>
    <w:tbl>
      <w:tblPr>
        <w:tblW w:w="90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9"/>
        <w:gridCol w:w="1841"/>
      </w:tblGrid>
      <w:tr w:rsidR="00A60DCC" w:rsidRPr="00626683" w:rsidTr="00A60DCC">
        <w:trPr>
          <w:trHeight w:val="505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Должностной оклад, (рубль)</w:t>
            </w:r>
          </w:p>
        </w:tc>
      </w:tr>
      <w:tr w:rsidR="00A60DCC" w:rsidRPr="00626683" w:rsidTr="00580231">
        <w:trPr>
          <w:trHeight w:val="61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12000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14000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16000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17000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 xml:space="preserve">Профессиональная квалификационная группа «Общеотраслевые </w:t>
            </w: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lastRenderedPageBreak/>
              <w:t>должности служащих второго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lastRenderedPageBreak/>
              <w:t>13000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16000</w:t>
            </w:r>
          </w:p>
        </w:tc>
      </w:tr>
      <w:tr w:rsidR="00A60DCC" w:rsidRPr="00626683" w:rsidTr="00A60DCC"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13"/>
              <w:jc w:val="center"/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color w:val="000000"/>
                <w:sz w:val="24"/>
                <w:szCs w:val="28"/>
              </w:rPr>
              <w:t>19000</w:t>
            </w:r>
          </w:p>
        </w:tc>
      </w:tr>
    </w:tbl>
    <w:p w:rsidR="00A60DCC" w:rsidRPr="00626683" w:rsidRDefault="00A60DCC" w:rsidP="00A60DCC">
      <w:pPr>
        <w:widowControl w:val="0"/>
        <w:suppressAutoHyphens/>
        <w:autoSpaceDN w:val="0"/>
        <w:spacing w:after="0" w:line="240" w:lineRule="auto"/>
        <w:ind w:right="283" w:firstLine="567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Отнесение должностей к ПКГ осуществляется в соответствии с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приказом Министерства здравоохранения и социального развития Российской Федерации от 29 мая 2008 года №247н «Об утверждении профессиональных квалификационных групп общеотраслевых руководителей, специалистов и служащих» единым квалификационным справочником должностей руководителей, специалистов и других служащих (ЕКС)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2017 года»;</w:t>
      </w:r>
    </w:p>
    <w:p w:rsidR="00A60DCC" w:rsidRDefault="00580231" w:rsidP="0058023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</w:t>
      </w:r>
      <w:r w:rsidR="00913534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- </w:t>
      </w:r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«</w:t>
      </w:r>
      <w:r w:rsidR="00913534">
        <w:rPr>
          <w:rFonts w:ascii="PT Astra Sans" w:eastAsia="Times New Roman" w:hAnsi="PT Astra Sans" w:cstheme="minorHAnsi"/>
          <w:sz w:val="24"/>
          <w:szCs w:val="28"/>
          <w:lang w:eastAsia="ru-RU"/>
        </w:rPr>
        <w:t>пункт 44 приложения.</w:t>
      </w:r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Размер должностного оклада руководителя учреждения устанавливается в зависимости от типа и численности работников учреждения в соответствии с </w:t>
      </w:r>
      <w:hyperlink r:id="rId7" w:anchor="Par309" w:tooltip="Таблица 2" w:history="1">
        <w:r w:rsidR="00A60DCC" w:rsidRPr="00626683">
          <w:rPr>
            <w:rFonts w:ascii="PT Astra Sans" w:eastAsia="Times New Roman" w:hAnsi="PT Astra Sans" w:cstheme="minorHAnsi"/>
            <w:color w:val="0563C1" w:themeColor="hyperlink"/>
            <w:sz w:val="24"/>
            <w:szCs w:val="28"/>
            <w:u w:val="single"/>
            <w:lang w:eastAsia="ru-RU"/>
          </w:rPr>
          <w:t>таблицей 2</w:t>
        </w:r>
      </w:hyperlink>
      <w:r w:rsidR="00A60DCC"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.</w:t>
      </w:r>
    </w:p>
    <w:p w:rsidR="00AB7510" w:rsidRPr="00626683" w:rsidRDefault="00AB7510" w:rsidP="00580231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         2. </w:t>
      </w:r>
    </w:p>
    <w:p w:rsidR="00A60DCC" w:rsidRPr="00626683" w:rsidRDefault="00A60DCC" w:rsidP="00A60DCC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right"/>
        <w:outlineLvl w:val="3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>Таблица 2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4"/>
        <w:gridCol w:w="1984"/>
        <w:gridCol w:w="1909"/>
        <w:gridCol w:w="1918"/>
      </w:tblGrid>
      <w:tr w:rsidR="00A60DCC" w:rsidRPr="00626683" w:rsidTr="00A60DCC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Учреждение культуры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Численность работников учреждения (штатная единица)</w:t>
            </w:r>
          </w:p>
        </w:tc>
      </w:tr>
      <w:tr w:rsidR="00A60DCC" w:rsidRPr="00626683" w:rsidTr="00A60DCC">
        <w:trPr>
          <w:trHeight w:val="455"/>
        </w:trPr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C" w:rsidRPr="00626683" w:rsidRDefault="00A60DCC" w:rsidP="00A60DCC">
            <w:pPr>
              <w:spacing w:after="0" w:line="256" w:lineRule="auto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до 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от 40 до 80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от 81 до 160</w:t>
            </w:r>
          </w:p>
        </w:tc>
      </w:tr>
      <w:tr w:rsidR="00A60DCC" w:rsidRPr="00626683" w:rsidTr="00A60DCC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Размер 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580231" w:rsidP="00A60DCC">
            <w:pPr>
              <w:widowControl w:val="0"/>
              <w:tabs>
                <w:tab w:val="left" w:pos="240"/>
                <w:tab w:val="center" w:pos="544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20</w:t>
            </w:r>
            <w:r w:rsidR="00A60DCC"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000 рублей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580231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22</w:t>
            </w:r>
            <w:r w:rsidR="00A60DCC"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000 рублей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C" w:rsidRPr="00626683" w:rsidRDefault="00A60DCC" w:rsidP="00A60DC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PT Astra Sans" w:eastAsia="Times New Roman" w:hAnsi="PT Astra Sans" w:cstheme="minorHAnsi"/>
                <w:sz w:val="24"/>
                <w:szCs w:val="28"/>
              </w:rPr>
            </w:pPr>
            <w:r w:rsidRPr="00626683">
              <w:rPr>
                <w:rFonts w:ascii="PT Astra Sans" w:eastAsia="Times New Roman" w:hAnsi="PT Astra Sans" w:cstheme="minorHAnsi"/>
                <w:sz w:val="24"/>
                <w:szCs w:val="28"/>
              </w:rPr>
              <w:t>23000 рублей</w:t>
            </w:r>
          </w:p>
        </w:tc>
      </w:tr>
    </w:tbl>
    <w:p w:rsidR="00A60DCC" w:rsidRPr="00626683" w:rsidRDefault="00A60DCC" w:rsidP="00A60DCC">
      <w:pPr>
        <w:widowControl w:val="0"/>
        <w:suppressAutoHyphens/>
        <w:autoSpaceDN w:val="0"/>
        <w:spacing w:after="0" w:line="240" w:lineRule="auto"/>
        <w:ind w:right="283" w:firstLine="567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                                                                                                                    ».</w:t>
      </w:r>
    </w:p>
    <w:p w:rsidR="00913534" w:rsidRDefault="00A60DCC" w:rsidP="00913534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Насто</w:t>
      </w:r>
      <w:r w:rsidR="00580231"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ящее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 </w:t>
      </w:r>
      <w:r w:rsidR="00580231"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постановление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</w:t>
      </w:r>
      <w:r w:rsidR="00580231"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применяется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к   правоотношениям   возникшим   с </w:t>
      </w:r>
    </w:p>
    <w:p w:rsidR="00580231" w:rsidRPr="00913534" w:rsidRDefault="00913534" w:rsidP="0091353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1 </w:t>
      </w:r>
      <w:r w:rsidR="00A60DCC" w:rsidRP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апреля 2024 года.</w:t>
      </w:r>
    </w:p>
    <w:p w:rsidR="00913534" w:rsidRDefault="00A60DCC" w:rsidP="00913534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Разместить настоящее постановление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на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официальном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 сайте Администрации</w:t>
      </w:r>
    </w:p>
    <w:p w:rsidR="00580231" w:rsidRPr="00913534" w:rsidRDefault="00A60DCC" w:rsidP="0091353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Белозерского муниципального округа в информационно-телекоммуникационной сети Интернет.</w:t>
      </w:r>
    </w:p>
    <w:p w:rsidR="00913534" w:rsidRDefault="00A60DCC" w:rsidP="00913534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Контроль за выполнением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настоящего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постановления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возложить </w:t>
      </w:r>
      <w:r w:rsid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  </w:t>
      </w:r>
      <w:r w:rsidRPr="00626683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 xml:space="preserve">на первого </w:t>
      </w:r>
    </w:p>
    <w:p w:rsidR="00A60DCC" w:rsidRPr="00913534" w:rsidRDefault="00A60DCC" w:rsidP="00913534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283"/>
        <w:jc w:val="both"/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</w:pPr>
      <w:r w:rsidRPr="00913534">
        <w:rPr>
          <w:rFonts w:ascii="PT Astra Sans" w:eastAsia="Times New Roman" w:hAnsi="PT Astra Sans" w:cstheme="minorHAnsi"/>
          <w:kern w:val="3"/>
          <w:sz w:val="24"/>
          <w:szCs w:val="28"/>
          <w:lang w:eastAsia="zh-CN"/>
        </w:rPr>
        <w:t>заместителя Главы Белозерского муниципального округа, начальника управления социальной политики.</w:t>
      </w:r>
    </w:p>
    <w:p w:rsidR="00A60DCC" w:rsidRPr="00626683" w:rsidRDefault="00A60DCC" w:rsidP="00A60DCC">
      <w:pPr>
        <w:tabs>
          <w:tab w:val="left" w:pos="851"/>
        </w:tabs>
        <w:spacing w:after="0" w:line="240" w:lineRule="auto"/>
        <w:ind w:right="283" w:firstLine="567"/>
        <w:contextualSpacing/>
        <w:jc w:val="both"/>
        <w:outlineLvl w:val="0"/>
        <w:rPr>
          <w:rFonts w:ascii="PT Astra Sans" w:eastAsia="Times New Roman" w:hAnsi="PT Astra Sans" w:cstheme="minorHAnsi"/>
          <w:sz w:val="24"/>
          <w:szCs w:val="28"/>
          <w:lang w:eastAsia="ru-RU"/>
        </w:rPr>
      </w:pPr>
    </w:p>
    <w:p w:rsidR="00A60DCC" w:rsidRPr="00626683" w:rsidRDefault="00A60DCC" w:rsidP="00A60DCC">
      <w:pPr>
        <w:tabs>
          <w:tab w:val="left" w:pos="851"/>
          <w:tab w:val="left" w:pos="8789"/>
        </w:tabs>
        <w:spacing w:after="0" w:line="240" w:lineRule="auto"/>
        <w:ind w:right="283" w:firstLine="567"/>
        <w:jc w:val="both"/>
        <w:rPr>
          <w:rFonts w:ascii="PT Astra Sans" w:eastAsia="Times New Roman" w:hAnsi="PT Astra Sans" w:cstheme="minorHAnsi"/>
          <w:sz w:val="24"/>
          <w:szCs w:val="28"/>
          <w:lang w:eastAsia="ru-RU"/>
        </w:rPr>
      </w:pP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eastAsia="Times New Roman" w:hAnsi="PT Astra Sans" w:cstheme="minorHAnsi"/>
          <w:sz w:val="24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/>
        <w:rPr>
          <w:rFonts w:ascii="PT Astra Sans" w:eastAsia="Times New Roman" w:hAnsi="PT Astra Sans" w:cstheme="minorHAnsi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Глава Белозерского муниципального округа                            </w:t>
      </w:r>
      <w:r w:rsidR="00913534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                  </w:t>
      </w:r>
      <w:r w:rsidRPr="00626683">
        <w:rPr>
          <w:rFonts w:ascii="PT Astra Sans" w:eastAsia="Times New Roman" w:hAnsi="PT Astra Sans" w:cstheme="minorHAnsi"/>
          <w:sz w:val="24"/>
          <w:szCs w:val="28"/>
          <w:lang w:eastAsia="ru-RU"/>
        </w:rPr>
        <w:t xml:space="preserve"> Н.А. Богданова</w:t>
      </w:r>
    </w:p>
    <w:p w:rsidR="00A60DCC" w:rsidRPr="00626683" w:rsidRDefault="00A60DCC" w:rsidP="00A60DCC">
      <w:pPr>
        <w:spacing w:after="0" w:line="240" w:lineRule="auto"/>
        <w:ind w:right="283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580231" w:rsidRPr="00626683" w:rsidRDefault="00580231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913534" w:rsidRDefault="00913534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580231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b/>
          <w:sz w:val="24"/>
          <w:szCs w:val="28"/>
          <w:lang w:eastAsia="ru-RU"/>
        </w:rPr>
        <w:t>Пояснительная записка</w:t>
      </w:r>
    </w:p>
    <w:p w:rsidR="00580231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b/>
          <w:sz w:val="24"/>
          <w:szCs w:val="28"/>
          <w:lang w:eastAsia="ru-RU"/>
        </w:rPr>
        <w:t xml:space="preserve"> к постановлению Администрации Белозерского муниципального округа </w:t>
      </w:r>
    </w:p>
    <w:p w:rsidR="00580231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b/>
          <w:sz w:val="24"/>
          <w:szCs w:val="28"/>
          <w:lang w:eastAsia="ru-RU"/>
        </w:rPr>
        <w:t xml:space="preserve">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</w:t>
      </w: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b/>
          <w:sz w:val="24"/>
          <w:szCs w:val="28"/>
          <w:lang w:eastAsia="ru-RU"/>
        </w:rPr>
        <w:t>Администрации Белозерского муниципального округа»</w:t>
      </w: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/>
        <w:jc w:val="center"/>
        <w:rPr>
          <w:rFonts w:ascii="PT Astra Sans" w:eastAsia="Times New Roman" w:hAnsi="PT Astra Sans" w:cs="Times New Roman"/>
          <w:b/>
          <w:sz w:val="24"/>
          <w:szCs w:val="28"/>
          <w:lang w:eastAsia="ru-RU"/>
        </w:rPr>
      </w:pP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Изменения в постановление Администрации Белозерского муниципального округа «О внесении изменений в постановление Администрации Белозерского муниципального округа от 30 сентября 2022 года № 235 «Об утверждении Положения об отраслевой системе оплаты труда работников муниципальных учреждений культуры, подведомственных Администрации Белозерского муниципального округа» вносятся </w:t>
      </w:r>
      <w:r w:rsidR="00580231" w:rsidRPr="00626683">
        <w:rPr>
          <w:rFonts w:ascii="PT Astra Sans" w:eastAsia="Times New Roman" w:hAnsi="PT Astra Sans" w:cs="Times New Roman"/>
          <w:sz w:val="24"/>
          <w:szCs w:val="28"/>
          <w:lang w:eastAsia="ru-RU"/>
        </w:rPr>
        <w:t xml:space="preserve">в связи с </w:t>
      </w:r>
      <w:r w:rsidRPr="00626683">
        <w:rPr>
          <w:rFonts w:ascii="PT Astra Sans" w:eastAsia="Times New Roman" w:hAnsi="PT Astra Sans" w:cs="Times New Roman"/>
          <w:sz w:val="24"/>
          <w:szCs w:val="28"/>
          <w:lang w:eastAsia="ru-RU"/>
        </w:rPr>
        <w:t>повышением средней заработной платы</w:t>
      </w:r>
      <w:r w:rsidR="00580231" w:rsidRPr="00626683">
        <w:rPr>
          <w:rFonts w:ascii="PT Astra Sans" w:eastAsia="Times New Roman" w:hAnsi="PT Astra Sans" w:cs="Times New Roman"/>
          <w:sz w:val="24"/>
          <w:szCs w:val="28"/>
          <w:lang w:eastAsia="ru-RU"/>
        </w:rPr>
        <w:t>.</w:t>
      </w:r>
    </w:p>
    <w:p w:rsidR="00A60DCC" w:rsidRPr="00626683" w:rsidRDefault="00A60DCC" w:rsidP="00A60DCC">
      <w:pPr>
        <w:tabs>
          <w:tab w:val="left" w:pos="8789"/>
        </w:tabs>
        <w:spacing w:after="0" w:line="240" w:lineRule="auto"/>
        <w:ind w:right="283" w:firstLine="567"/>
        <w:jc w:val="both"/>
        <w:rPr>
          <w:rFonts w:ascii="PT Astra Sans" w:eastAsia="Times New Roman" w:hAnsi="PT Astra Sans" w:cs="Times New Roman"/>
          <w:sz w:val="24"/>
          <w:szCs w:val="28"/>
          <w:lang w:eastAsia="ru-RU"/>
        </w:rPr>
      </w:pPr>
      <w:r w:rsidRPr="00626683">
        <w:rPr>
          <w:rFonts w:ascii="PT Astra Sans" w:eastAsia="Times New Roman" w:hAnsi="PT Astra Sans" w:cs="Times New Roman"/>
          <w:sz w:val="24"/>
          <w:szCs w:val="28"/>
          <w:lang w:eastAsia="ru-RU"/>
        </w:rPr>
        <w:t>Повышение окладов работников не повлечет за собой увеличение фонда оплаты труда работников культуры Белозерского муниципального округа.</w:t>
      </w:r>
    </w:p>
    <w:p w:rsidR="00A60DCC" w:rsidRPr="00626683" w:rsidRDefault="00A60DCC" w:rsidP="00A60DCC">
      <w:pPr>
        <w:spacing w:after="0" w:line="240" w:lineRule="auto"/>
        <w:ind w:right="283" w:firstLine="56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A60DCC" w:rsidRPr="00626683" w:rsidRDefault="00A60DCC" w:rsidP="00A60DCC">
      <w:pPr>
        <w:spacing w:after="0" w:line="240" w:lineRule="auto"/>
        <w:ind w:right="283" w:firstLine="567"/>
        <w:jc w:val="both"/>
        <w:rPr>
          <w:rFonts w:ascii="PT Astra Sans" w:eastAsia="Times New Roman" w:hAnsi="PT Astra Sans" w:cs="Times New Roman"/>
          <w:sz w:val="28"/>
          <w:szCs w:val="28"/>
          <w:lang w:eastAsia="ru-RU"/>
        </w:rPr>
      </w:pPr>
    </w:p>
    <w:p w:rsidR="00702F1A" w:rsidRPr="00626683" w:rsidRDefault="00702F1A">
      <w:pPr>
        <w:rPr>
          <w:rFonts w:ascii="PT Astra Sans" w:hAnsi="PT Astra Sans"/>
        </w:rPr>
      </w:pPr>
    </w:p>
    <w:sectPr w:rsidR="00702F1A" w:rsidRPr="0062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5BF"/>
    <w:multiLevelType w:val="hybridMultilevel"/>
    <w:tmpl w:val="39BA0F94"/>
    <w:lvl w:ilvl="0" w:tplc="0DC828E0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2575C9"/>
    <w:multiLevelType w:val="hybridMultilevel"/>
    <w:tmpl w:val="9F84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37"/>
    <w:rsid w:val="003A05BF"/>
    <w:rsid w:val="004E4537"/>
    <w:rsid w:val="00580231"/>
    <w:rsid w:val="005F3C88"/>
    <w:rsid w:val="00626683"/>
    <w:rsid w:val="00702F1A"/>
    <w:rsid w:val="00913534"/>
    <w:rsid w:val="00A60DCC"/>
    <w:rsid w:val="00A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-b\Desktop\&#1076;&#1082;&#1091;&#1084;&#1077;&#1085;&#1090;&#1099;\&#1041;&#1091;&#1088;&#1085;&#1072;&#1096;&#1086;&#1074;&#1072;%20&#1052;&#1057;\&#1052;&#1091;&#1085;&#1080;&#1094;&#1080;&#1087;&#1072;&#1083;&#1100;&#1085;&#1072;&#1103;%20&#1089;&#1083;&#1091;&#1078;&#1073;&#1072;\&#1054;&#1087;&#1083;&#1072;&#1090;&#1072;%20&#1090;&#1088;&#1091;&#1076;&#1072;%20&#1062;&#1050;%20&#1080;%20&#1082;&#1091;&#1083;&#1100;&#1090;&#1091;&#1088;&#1072;\6%20&#1055;&#1086;&#1074;&#1099;&#1096;&#1077;&#1085;&#1080;&#1077;%20&#1086;&#1082;&#1083;&#1072;&#1076;&#1086;&#1074;%20&#1089;&#1077;&#1085;&#1090;&#1103;&#1073;&#1088;&#1100;%202023%20&#1075;&#1086;&#107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2</cp:revision>
  <cp:lastPrinted>2024-04-01T08:07:00Z</cp:lastPrinted>
  <dcterms:created xsi:type="dcterms:W3CDTF">2024-04-04T09:14:00Z</dcterms:created>
  <dcterms:modified xsi:type="dcterms:W3CDTF">2024-04-04T09:14:00Z</dcterms:modified>
</cp:coreProperties>
</file>